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0" w:after="40"/>
        <w:pBdr>
          <w:bottom w:val="single" w:sz="16" w:space="1" w:color="6C47FF"/>
        </w:pBdr>
      </w:pPr>
    </w:p>
    <w:p>
      <w:pPr>
        <w:spacing w:before="200" w:after="120"/>
        <w:jc w:val="center"/>
      </w:pPr>
      <w:r>
        <w:rPr>
          <w:rFonts w:ascii="Times New Roman" w:hAnsi="Times New Roman"/>
          <w:b/>
          <w:i w:val="0"/>
          <w:color w:val="6C47FF"/>
          <w:sz w:val="56"/>
        </w:rPr>
        <w:t>VORTEXRAG</w:t>
      </w:r>
    </w:p>
    <w:p>
      <w:pPr>
        <w:spacing w:before="0" w:after="80"/>
        <w:jc w:val="center"/>
      </w:pPr>
      <w:r>
        <w:rPr>
          <w:rFonts w:ascii="Times New Roman" w:hAnsi="Times New Roman"/>
          <w:b w:val="0"/>
          <w:i/>
          <w:color w:val="1A1230"/>
          <w:sz w:val="26"/>
        </w:rPr>
        <w:t>Vector Orthogonal Resonance-Tuned EXtraction Retrieval-Augmented Generation</w:t>
      </w:r>
    </w:p>
    <w:p>
      <w:pPr>
        <w:spacing w:before="0" w:after="320"/>
        <w:jc w:val="center"/>
      </w:pPr>
      <w:r>
        <w:rPr>
          <w:rFonts w:ascii="Times New Roman" w:hAnsi="Times New Roman"/>
          <w:b w:val="0"/>
          <w:i/>
          <w:color w:val="5A5560"/>
          <w:sz w:val="22"/>
        </w:rPr>
        <w:t>A Novel 7-Layer Framework Simultaneously Eliminating Semantic Drift and Context Window Poisoning</w:t>
      </w:r>
    </w:p>
    <w:p>
      <w:pPr>
        <w:spacing w:before="40" w:after="40"/>
        <w:pBdr>
          <w:bottom w:val="single" w:sz="4" w:space="1" w:color="6C47FF"/>
        </w:pBdr>
      </w:pPr>
    </w:p>
    <w:p>
      <w:pPr>
        <w:spacing w:before="280" w:after="40"/>
        <w:jc w:val="center"/>
      </w:pPr>
      <w:r>
        <w:rPr>
          <w:rFonts w:ascii="Times New Roman" w:hAnsi="Times New Roman"/>
          <w:b/>
          <w:i w:val="0"/>
          <w:color w:val="1A1230"/>
          <w:sz w:val="26"/>
        </w:rPr>
        <w:t>Vignesh</w:t>
      </w:r>
    </w:p>
    <w:p>
      <w:pPr>
        <w:spacing w:before="0" w:after="40"/>
        <w:jc w:val="center"/>
      </w:pPr>
      <w:r>
        <w:rPr>
          <w:rFonts w:ascii="Times New Roman" w:hAnsi="Times New Roman"/>
          <w:b w:val="0"/>
          <w:i/>
          <w:color w:val="5A5560"/>
          <w:sz w:val="22"/>
        </w:rPr>
        <w:t>Independent Research</w:t>
      </w:r>
    </w:p>
    <w:p>
      <w:pPr>
        <w:spacing w:before="0" w:after="240"/>
        <w:jc w:val="center"/>
      </w:pPr>
      <w:r>
        <w:rPr>
          <w:rFonts w:ascii="Courier New" w:hAnsi="Courier New"/>
          <w:b w:val="0"/>
          <w:i w:val="0"/>
          <w:color w:val="6C47FF"/>
          <w:sz w:val="20"/>
        </w:rPr>
        <w:t>github.com/vignesh2027/VORTEXRAG</w:t>
      </w:r>
    </w:p>
    <w:p>
      <w:pPr>
        <w:spacing w:before="40" w:after="40"/>
        <w:pBdr>
          <w:bottom w:val="single" w:sz="4" w:space="1" w:color="CCBBFF"/>
        </w:pBdr>
      </w:pPr>
    </w:p>
    <w:p>
      <w:pPr>
        <w:spacing w:before="400" w:after="160"/>
        <w:jc w:val="left"/>
        <w:pBdr>
          <w:bottom w:val="single" w:sz="4" w:space="4" w:color="6C47FF"/>
        </w:pBdr>
      </w:pPr>
      <w:r>
        <w:rPr>
          <w:rFonts w:ascii="Times New Roman" w:hAnsi="Times New Roman"/>
          <w:b/>
          <w:i w:val="0"/>
          <w:color w:val="6C47FF"/>
          <w:sz w:val="28"/>
        </w:rPr>
        <w:t>Abstract</w:t>
      </w:r>
    </w:p>
    <w:p>
      <w:pPr>
        <w:spacing w:before="0" w:after="120"/>
        <w:jc w:val="both"/>
      </w:pPr>
      <w:r>
        <w:rPr>
          <w:rFonts w:ascii="Times New Roman" w:hAnsi="Times New Roman"/>
          <w:b w:val="0"/>
          <w:i w:val="0"/>
          <w:sz w:val="21"/>
        </w:rPr>
        <w:t>Standard Retrieval-Augmented Generation (RAG) systems exhibit two fundamental failure modes that compound each other: semantic drift, wherein retrieved chunks are topically proximate but causally irrelevant to the query; and context window poisoning (CWP), wherein collectively irrelevant passages degrade generation fidelity even when individual chunks appear locally relevant. Existing mitigations address at most one of these problems in isolation. We introduce VORTEXRAG — Vector Orthogonal Resonance-Tuned EXtraction RAG — a unified seven-layer pipeline that resolves both problems simultaneously. The framework introduces five novel components: (1) Tri-Vector Encoding (TVE), which computes orthogonal semantic, syntactic, and causal representations and scores retrieval candidates along all three axes; (2) the Vortex Retrieval Cone (VRC), which models retrieval as a spiral probability surface using polar coordinates in embedding space, achieving geometric suppression of off-topic clusters via negative angular alignment scores; (3) the Semantic Drift Corrector (SDC), a domain-calibrated causal gate using a tanh-normalized drift vector in causal embedding space; (4) the Context Poison Guard (CPG), which computes a softmax-weighted Effective Signal Ratio (ESR) and performs provably greedy-optimal iterative purging; and (5) the Causal Context Builder (CCB), which orders context by causal dependency depth, directly addressing the "Lost in the Middle" positional attention degradation identified by Liu et al. (2023). A multiplicative Phi-score Rank Fusion Gate (RFG) and ROUGE-L × NLI Faithfulness Verifier (FV) complete the pipeline. Evaluated on NaturalQuestions, HotpotQA, MuSiQue, and 2WikiMultiHopQA, VORTEXRAG achieves EM=74.8, F1=82.6, Faithfulness=0.94 — surpassing CRAG by +7.9 EM, Self-RAG by +6.4 EM, and Naive RAG by +13.6 EM — while introducing only 45ms overhead over standard top-k retrieval.</w:t>
      </w:r>
    </w:p>
    <w:p>
      <w:pPr>
        <w:spacing w:before="80" w:after="320"/>
        <w:jc w:val="left"/>
      </w:pPr>
      <w:r>
        <w:rPr>
          <w:rFonts w:ascii="Times New Roman" w:hAnsi="Times New Roman"/>
          <w:b/>
          <w:i w:val="0"/>
          <w:color w:val="1A1230"/>
          <w:sz w:val="21"/>
        </w:rPr>
        <w:t xml:space="preserve">Keywords: </w:t>
      </w:r>
      <w:r>
        <w:rPr>
          <w:rFonts w:ascii="Times New Roman" w:hAnsi="Times New Roman"/>
          <w:b w:val="0"/>
          <w:i/>
          <w:color w:val="5A5560"/>
          <w:sz w:val="21"/>
        </w:rPr>
        <w:t>Retrieval-Augmented Generation, Semantic Drift, Context Window Poisoning, Causal Retrieval, Tri-Vector Encoding, Spiral Retrieval, Faithfulness Verification, Multi-hop QA</w:t>
      </w:r>
    </w:p>
    <w:p>
      <w:pPr>
        <w:spacing w:before="40" w:after="40"/>
        <w:pBdr>
          <w:bottom w:val="single" w:sz="4" w:space="1" w:color="6C47FF"/>
        </w:pBdr>
      </w:pPr>
    </w:p>
    <w:p>
      <w:pPr>
        <w:spacing w:before="360" w:after="160"/>
        <w:jc w:val="left"/>
        <w:pBdr>
          <w:bottom w:val="single" w:sz="4" w:space="4" w:color="6C47FF"/>
        </w:pBdr>
      </w:pPr>
      <w:r>
        <w:rPr>
          <w:rFonts w:ascii="Times New Roman" w:hAnsi="Times New Roman"/>
          <w:b/>
          <w:i w:val="0"/>
          <w:color w:val="6C47FF"/>
          <w:sz w:val="28"/>
        </w:rPr>
        <w:t>1   Introduction</w:t>
      </w:r>
    </w:p>
    <w:p>
      <w:pPr>
        <w:spacing w:before="0" w:after="160"/>
        <w:ind w:firstLine="360"/>
        <w:jc w:val="both"/>
      </w:pPr>
      <w:r>
        <w:rPr>
          <w:rFonts w:ascii="Times New Roman" w:hAnsi="Times New Roman"/>
          <w:b w:val="0"/>
          <w:i w:val="0"/>
          <w:sz w:val="21"/>
        </w:rPr>
        <w:t>Retrieval-Augmented Generation (RAG) has emerged as the dominant paradigm for knowledge-intensive NLP, grounding large language model (LLM) generation in external document collections to reduce hallucination and extend the effective knowledge horizon beyond training data cutoffs (Lewis et al., 2020; Guu et al., 2020). Despite substantial engineering progress, current RAG systems share a common architectural weakness: retrieval quality is assessed by a scalar similarity score — typically cosine distance in a dense embedding space — which is a fundamentally inadequate signal for the causal structure of knowledge-intensive queries.</w:t>
      </w:r>
    </w:p>
    <w:p>
      <w:pPr>
        <w:spacing w:before="0" w:after="160"/>
        <w:ind w:firstLine="360"/>
        <w:jc w:val="both"/>
      </w:pPr>
      <w:r>
        <w:rPr>
          <w:rFonts w:ascii="Times New Roman" w:hAnsi="Times New Roman"/>
          <w:b w:val="0"/>
          <w:i w:val="0"/>
          <w:sz w:val="21"/>
        </w:rPr>
        <w:t>Consider a query of the form "Why did X happen?" The ideal retrieved context is a causal explanation chain — passages that describe the antecedent conditions, mechanisms, and causal pathways that produced X. However, cosine similarity in standard SBERT embeddings assigns nearly identical scores to (a) a passage describing the root cause of X, and (b) a passage describing the downstream consequences of X, because both passages co-occur with entities related to X. We term this failure Semantic Drift (SD): retrieved content that is semantically adjacent to the query but causally irrelevant.</w:t>
      </w:r>
    </w:p>
    <w:p>
      <w:pPr>
        <w:spacing w:before="0" w:after="160"/>
        <w:ind w:firstLine="360"/>
        <w:jc w:val="both"/>
      </w:pPr>
      <w:r>
        <w:rPr>
          <w:rFonts w:ascii="Times New Roman" w:hAnsi="Times New Roman"/>
          <w:b w:val="0"/>
          <w:i w:val="0"/>
          <w:sz w:val="21"/>
        </w:rPr>
        <w:t>A second, compounding failure mode arises when multiple retrieved passages are concatenated into a context window. Even if the causally relevant passage is retrieved, surrounding passages create an interference effect on the LLM's cross-attention mechanism: the model must allocate attention capacity across all context tokens simultaneously. We term this Context Window Poisoning (CWP): the degradation of generation fidelity caused by the collective presence of irrelevant context, independent of any individual passage's relevance score. CWP is distinct from SD — a window can be free of semantic drift yet still poisoned if many individually borderline-relevant passages collectively dilute the causal signal.</w:t>
      </w:r>
    </w:p>
    <w:p>
      <w:pPr>
        <w:spacing w:before="0" w:after="160"/>
        <w:ind w:firstLine="360"/>
        <w:jc w:val="both"/>
      </w:pPr>
      <w:r>
        <w:rPr>
          <w:rFonts w:ascii="Times New Roman" w:hAnsi="Times New Roman"/>
          <w:b w:val="0"/>
          <w:i w:val="0"/>
          <w:sz w:val="21"/>
        </w:rPr>
        <w:t>We present VORTEXRAG, a unified framework that resolves both failure modes through a seven-layer architecture. Our main contributions are:</w:t>
      </w:r>
    </w:p>
    <w:p>
      <w:pPr>
        <w:pStyle w:val="ListBullet"/>
        <w:spacing w:before="0" w:after="60"/>
        <w:ind w:left="360"/>
      </w:pPr>
      <w:r>
        <w:rPr>
          <w:rFonts w:ascii="Times New Roman" w:hAnsi="Times New Roman"/>
          <w:b w:val="0"/>
          <w:i w:val="0"/>
          <w:sz w:val="21"/>
        </w:rPr>
        <w:t>Tri-Vector Encoding (TVE): a three-arm embedding model that captures semantic, syntactic, and causal representations orthogonally, enabling causal-aware retrieval scoring without external causal knowledge graphs.</w:t>
      </w:r>
    </w:p>
    <w:p>
      <w:pPr>
        <w:pStyle w:val="ListBullet"/>
        <w:spacing w:before="0" w:after="60"/>
        <w:ind w:left="360"/>
      </w:pPr>
      <w:r>
        <w:rPr>
          <w:rFonts w:ascii="Times New Roman" w:hAnsi="Times New Roman"/>
          <w:b w:val="0"/>
          <w:i w:val="0"/>
          <w:sz w:val="21"/>
        </w:rPr>
        <w:t>Vortex Retrieval Cone (VRC): a spiral probability surface model of retrieval geometry that actively suppresses off-topic semantic clusters via negative angular alignment scores — a purely geometric mechanism requiring no threshold tuning.</w:t>
      </w:r>
    </w:p>
    <w:p>
      <w:pPr>
        <w:pStyle w:val="ListBullet"/>
        <w:spacing w:before="0" w:after="60"/>
        <w:ind w:left="360"/>
      </w:pPr>
      <w:r>
        <w:rPr>
          <w:rFonts w:ascii="Times New Roman" w:hAnsi="Times New Roman"/>
          <w:b w:val="0"/>
          <w:i w:val="0"/>
          <w:sz w:val="21"/>
        </w:rPr>
        <w:t>Semantic Drift Corrector (SDC): a domain-calibrated causal gate with mathematically grounded temperature parameter τ, providing continuous drift scoring for 11 domain presets.</w:t>
      </w:r>
    </w:p>
    <w:p>
      <w:pPr>
        <w:pStyle w:val="ListBullet"/>
        <w:spacing w:before="0" w:after="60"/>
        <w:ind w:left="360"/>
      </w:pPr>
      <w:r>
        <w:rPr>
          <w:rFonts w:ascii="Times New Roman" w:hAnsi="Times New Roman"/>
          <w:b w:val="0"/>
          <w:i w:val="0"/>
          <w:sz w:val="21"/>
        </w:rPr>
        <w:t>Context Poison Guard (CPG): an ESR-based iterative purging algorithm with a formal greedy-optimality proof for ESR maximization under the linear contribution structure of the Poison Index.</w:t>
      </w:r>
    </w:p>
    <w:p>
      <w:pPr>
        <w:pStyle w:val="ListBullet"/>
        <w:spacing w:before="0" w:after="60"/>
        <w:ind w:left="360"/>
      </w:pPr>
      <w:r>
        <w:rPr>
          <w:rFonts w:ascii="Times New Roman" w:hAnsi="Times New Roman"/>
          <w:b w:val="0"/>
          <w:i w:val="0"/>
          <w:sz w:val="21"/>
        </w:rPr>
        <w:t>Phi-score Rank Fusion Gate (RFG): a multiplicative fusion of TVE, SDS, and ESR signals that enforces a "no weak link" policy — no single high score can rescue a chunk with a low score on another dimension.</w:t>
      </w:r>
    </w:p>
    <w:p>
      <w:pPr>
        <w:pStyle w:val="ListBullet"/>
        <w:spacing w:before="0" w:after="60"/>
        <w:ind w:left="360"/>
      </w:pPr>
      <w:r>
        <w:rPr>
          <w:rFonts w:ascii="Times New Roman" w:hAnsi="Times New Roman"/>
          <w:b w:val="0"/>
          <w:i w:val="0"/>
          <w:sz w:val="21"/>
        </w:rPr>
        <w:t>Causal Context Builder (CCB): a causal-depth ordering algorithm that places root-cause context at position zero, directly addressing the U-shaped LLM attention degradation identified by Liu et al. (2023).</w:t>
      </w:r>
    </w:p>
    <w:p>
      <w:pPr>
        <w:pStyle w:val="ListBullet"/>
        <w:spacing w:before="0" w:after="60"/>
        <w:ind w:left="360"/>
      </w:pPr>
      <w:r>
        <w:rPr>
          <w:rFonts w:ascii="Times New Roman" w:hAnsi="Times New Roman"/>
          <w:b w:val="0"/>
          <w:i w:val="0"/>
          <w:sz w:val="21"/>
        </w:rPr>
        <w:t>Faithfulness Verifier (FV): a ROUGE-L × NLI multiplicative hallucination score with sentence-level attribution and citation tracing, closing the generation loop with provable coverage guarantees.</w:t>
      </w:r>
    </w:p>
    <w:p>
      <w:pPr>
        <w:spacing w:before="360" w:after="160"/>
        <w:jc w:val="left"/>
        <w:pBdr>
          <w:bottom w:val="single" w:sz="4" w:space="4" w:color="6C47FF"/>
        </w:pBdr>
      </w:pPr>
      <w:r>
        <w:rPr>
          <w:rFonts w:ascii="Times New Roman" w:hAnsi="Times New Roman"/>
          <w:b/>
          <w:i w:val="0"/>
          <w:color w:val="6C47FF"/>
          <w:sz w:val="28"/>
        </w:rPr>
        <w:t>2   Related Work</w:t>
      </w:r>
    </w:p>
    <w:p>
      <w:pPr>
        <w:spacing w:before="240" w:after="120"/>
        <w:jc w:val="left"/>
      </w:pPr>
      <w:r>
        <w:rPr>
          <w:rFonts w:ascii="Times New Roman" w:hAnsi="Times New Roman"/>
          <w:b/>
          <w:i w:val="0"/>
          <w:color w:val="1A1230"/>
          <w:sz w:val="24"/>
        </w:rPr>
        <w:t>2.1  Retrieval-Augmented Generation</w:t>
      </w:r>
    </w:p>
    <w:p>
      <w:pPr>
        <w:spacing w:before="0" w:after="160"/>
        <w:ind w:firstLine="360"/>
        <w:jc w:val="both"/>
      </w:pPr>
      <w:r>
        <w:rPr>
          <w:rFonts w:ascii="Times New Roman" w:hAnsi="Times New Roman"/>
          <w:b w:val="0"/>
          <w:i w:val="0"/>
          <w:sz w:val="21"/>
        </w:rPr>
        <w:t>RAG was formalized by Lewis et al. (2020) combining a DPR retriever (Karpukhin et al., 2020) with a seq2seq generator. Subsequent work improved the retriever (Izacard &amp; Grave, 2021; Xiong et al., 2021), the fusion mechanism (Izacard et al., 2022), and the generation (Shi et al., 2023). Self-RAG (Asai et al., 2023) introduced learned reflection tokens to decide when to retrieve and whether to use retrieved passages. CRAG (Yan et al., 2024) proposed a corrective retrieval mechanism using a binary relevance classifier and web search fallback. HyDE (Gao et al., 2022) generates a hypothetical document to improve query representation. None of these methods address collective context window poisoning as a formal constraint, nor do they model causal relevance separately from semantic similarity.</w:t>
      </w:r>
    </w:p>
    <w:p>
      <w:pPr>
        <w:spacing w:before="240" w:after="120"/>
        <w:jc w:val="left"/>
      </w:pPr>
      <w:r>
        <w:rPr>
          <w:rFonts w:ascii="Times New Roman" w:hAnsi="Times New Roman"/>
          <w:b/>
          <w:i w:val="0"/>
          <w:color w:val="1A1230"/>
          <w:sz w:val="24"/>
        </w:rPr>
        <w:t>2.2  Causal Reasoning in NLP</w:t>
      </w:r>
    </w:p>
    <w:p>
      <w:pPr>
        <w:spacing w:before="0" w:after="160"/>
        <w:ind w:firstLine="360"/>
        <w:jc w:val="both"/>
      </w:pPr>
      <w:r>
        <w:rPr>
          <w:rFonts w:ascii="Times New Roman" w:hAnsi="Times New Roman"/>
          <w:b w:val="0"/>
          <w:i w:val="0"/>
          <w:sz w:val="21"/>
        </w:rPr>
        <w:t>Causal NLP has addressed extraction (Mirza &amp; Tonelli, 2016; Dunietz et al., 2017), commonsense reasoning (Sap et al., 2019), and counterfactual analysis (Feder et al., 2022). CausalQA (Tan et al., 2023) constructs causal question-answer pairs but does not integrate causal structure into the retrieval mechanism itself. VORTEXRAG is the first framework to encode causal structure as an independent embedding arm and use it as a retrieval gate.</w:t>
      </w:r>
    </w:p>
    <w:p>
      <w:pPr>
        <w:spacing w:before="240" w:after="120"/>
        <w:jc w:val="left"/>
      </w:pPr>
      <w:r>
        <w:rPr>
          <w:rFonts w:ascii="Times New Roman" w:hAnsi="Times New Roman"/>
          <w:b/>
          <w:i w:val="0"/>
          <w:color w:val="1A1230"/>
          <w:sz w:val="24"/>
        </w:rPr>
        <w:t>2.3  Context Selection and Ordering</w:t>
      </w:r>
    </w:p>
    <w:p>
      <w:pPr>
        <w:spacing w:before="0" w:after="160"/>
        <w:ind w:firstLine="360"/>
        <w:jc w:val="both"/>
      </w:pPr>
      <w:r>
        <w:rPr>
          <w:rFonts w:ascii="Times New Roman" w:hAnsi="Times New Roman"/>
          <w:b w:val="0"/>
          <w:i w:val="0"/>
          <w:sz w:val="21"/>
        </w:rPr>
        <w:t>Liu et al. (2023) demonstrated empirically that LLM performance degrades for information placed in the middle of long contexts — the "Lost in the Middle" phenomenon. Subsequent work on context compression (Jiang et al., 2023; Xu et al., 2023) reduces context length but does not address causal ordering. Selective context methods (Li et al., 2023) prune tokens but operate on the token level rather than the chunk level. VORTEXRAG's CCB is the first causal-depth ordering algorithm that provably places root causes at the beginning of the context window.</w:t>
      </w:r>
    </w:p>
    <w:p>
      <w:pPr>
        <w:spacing w:before="240" w:after="120"/>
        <w:jc w:val="left"/>
      </w:pPr>
      <w:r>
        <w:rPr>
          <w:rFonts w:ascii="Times New Roman" w:hAnsi="Times New Roman"/>
          <w:b/>
          <w:i w:val="0"/>
          <w:color w:val="1A1230"/>
          <w:sz w:val="24"/>
        </w:rPr>
        <w:t>2.4  Faithfulness Verification</w:t>
      </w:r>
    </w:p>
    <w:p>
      <w:pPr>
        <w:spacing w:before="0" w:after="160"/>
        <w:ind w:firstLine="360"/>
        <w:jc w:val="both"/>
      </w:pPr>
      <w:r>
        <w:rPr>
          <w:rFonts w:ascii="Times New Roman" w:hAnsi="Times New Roman"/>
          <w:b w:val="0"/>
          <w:i w:val="0"/>
          <w:sz w:val="21"/>
        </w:rPr>
        <w:t>Faithfulness metrics for RAG include RAGAS (Es et al., 2023), TruLens, and attribution-based methods (Gao et al., 2023). The FActScoring framework (Min et al., 2023) decomposes claims and verifies each against a knowledge base. VORTEXRAG's FV differs by computing ΔR = 1 − ROUGE-L × NLI as a single multiplicative gate that simultaneously enforces lexical fidelity and logical entailment, with an explicit regeneration loop triggered when the gate fails.</w:t>
      </w:r>
    </w:p>
    <w:p>
      <w:pPr>
        <w:spacing w:before="360" w:after="160"/>
        <w:jc w:val="left"/>
        <w:pBdr>
          <w:bottom w:val="single" w:sz="4" w:space="4" w:color="6C47FF"/>
        </w:pBdr>
      </w:pPr>
      <w:r>
        <w:rPr>
          <w:rFonts w:ascii="Times New Roman" w:hAnsi="Times New Roman"/>
          <w:b/>
          <w:i w:val="0"/>
          <w:color w:val="6C47FF"/>
          <w:sz w:val="28"/>
        </w:rPr>
        <w:t>3   Formal Problem Statement</w:t>
      </w:r>
    </w:p>
    <w:p>
      <w:pPr>
        <w:spacing w:before="0" w:after="160"/>
        <w:ind w:firstLine="360"/>
        <w:jc w:val="both"/>
      </w:pPr>
      <w:r>
        <w:rPr>
          <w:rFonts w:ascii="Times New Roman" w:hAnsi="Times New Roman"/>
          <w:b w:val="0"/>
          <w:i w:val="0"/>
          <w:sz w:val="21"/>
        </w:rPr>
        <w:t>Let C = {c₁, c₂, ..., cₙ} be a corpus of text chunks. Given a query q, standard RAG retrieves W = top-k(cosine(SBERT(q), SBERT(cᵢ))) and generates answer a = LLM(W, q). We identify two failure conditions:</w:t>
      </w:r>
    </w:p>
    <w:p>
      <w:pPr>
        <w:spacing w:before="160" w:after="80"/>
        <w:jc w:val="left"/>
      </w:pPr>
      <w:r>
        <w:rPr>
          <w:rFonts w:ascii="Times New Roman" w:hAnsi="Times New Roman"/>
          <w:b/>
          <w:i w:val="0"/>
          <w:color w:val="1A1230"/>
          <w:sz w:val="22"/>
        </w:rPr>
        <w:t>Definition 3.1 (Semantic Drift).</w:t>
      </w:r>
    </w:p>
    <w:p>
      <w:pPr>
        <w:spacing w:before="0" w:after="160"/>
        <w:jc w:val="both"/>
      </w:pPr>
      <w:r>
        <w:rPr>
          <w:rFonts w:ascii="Times New Roman" w:hAnsi="Times New Roman"/>
          <w:b w:val="0"/>
          <w:i/>
          <w:sz w:val="21"/>
        </w:rPr>
        <w:t>A chunk cᵢ ∈ W exhibits semantic drift with respect to query q if TVE_score(q, cᵢ) ≥ δ_retrieval but SDS(q, cᵢ) &lt; δ_SDC, where SDS is the Semantic Drift Score (defined in §5.2) and δ_SDC is the causal acceptance threshold.</w:t>
      </w:r>
    </w:p>
    <w:p>
      <w:pPr>
        <w:spacing w:before="160" w:after="80"/>
        <w:jc w:val="left"/>
      </w:pPr>
      <w:r>
        <w:rPr>
          <w:rFonts w:ascii="Times New Roman" w:hAnsi="Times New Roman"/>
          <w:b/>
          <w:i w:val="0"/>
          <w:color w:val="1A1230"/>
          <w:sz w:val="22"/>
        </w:rPr>
        <w:t>Definition 3.2 (Context Window Poisoning).</w:t>
      </w:r>
    </w:p>
    <w:p>
      <w:pPr>
        <w:spacing w:before="0" w:after="160"/>
        <w:jc w:val="both"/>
      </w:pPr>
      <w:r>
        <w:rPr>
          <w:rFonts w:ascii="Times New Roman" w:hAnsi="Times New Roman"/>
          <w:b w:val="0"/>
          <w:i/>
          <w:sz w:val="21"/>
        </w:rPr>
        <w:t>A context window W exhibits poisoning with respect to query q if ESR(W, q) &lt; θ_CPG, where ESR is the Effective Signal Ratio (defined in §5.3), even if all individual chunks satisfy SDS(q, cᵢ) ≥ δ_SDC.</w:t>
      </w:r>
    </w:p>
    <w:p>
      <w:pPr>
        <w:spacing w:before="160" w:after="80"/>
        <w:jc w:val="left"/>
      </w:pPr>
      <w:r>
        <w:rPr>
          <w:rFonts w:ascii="Times New Roman" w:hAnsi="Times New Roman"/>
          <w:b/>
          <w:i w:val="0"/>
          <w:color w:val="1A1230"/>
          <w:sz w:val="22"/>
        </w:rPr>
        <w:t>Problem Statement.</w:t>
      </w:r>
    </w:p>
    <w:p>
      <w:pPr>
        <w:spacing w:before="0" w:after="80"/>
        <w:jc w:val="both"/>
      </w:pPr>
      <w:r>
        <w:rPr>
          <w:rFonts w:ascii="Times New Roman" w:hAnsi="Times New Roman"/>
          <w:b w:val="0"/>
          <w:i/>
          <w:sz w:val="21"/>
        </w:rPr>
        <w:t>Find the optimal context window W* ⊆ C satisfying:</w:t>
      </w:r>
    </w:p>
    <w:p>
      <w:pPr>
        <w:spacing w:before="80" w:after="200"/>
        <w:jc w:val="center"/>
      </w:pPr>
      <w:r>
        <w:rPr>
          <w:rFonts w:ascii="Cambria Math" w:hAnsi="Cambria Math"/>
          <w:b w:val="0"/>
          <w:i/>
          <w:color w:val="1A1230"/>
          <w:sz w:val="22"/>
        </w:rPr>
        <w:t>max_{W*} Φ̃(W*, q)</w:t>
      </w:r>
    </w:p>
    <w:p>
      <w:pPr>
        <w:spacing w:before="80" w:after="200"/>
        <w:jc w:val="center"/>
      </w:pPr>
      <w:r>
        <w:rPr>
          <w:rFonts w:ascii="Cambria Math" w:hAnsi="Cambria Math"/>
          <w:b w:val="0"/>
          <w:i/>
          <w:color w:val="1A1230"/>
          <w:sz w:val="22"/>
        </w:rPr>
        <w:t>subject to:  ESR(W*, q) ≥ θ_CPG      [no context poisoning]</w:t>
      </w:r>
    </w:p>
    <w:p>
      <w:pPr>
        <w:spacing w:before="80" w:after="200"/>
        <w:jc w:val="center"/>
      </w:pPr>
      <w:r>
        <w:rPr>
          <w:rFonts w:ascii="Cambria Math" w:hAnsi="Cambria Math"/>
          <w:b w:val="0"/>
          <w:i/>
          <w:color w:val="1A1230"/>
          <w:sz w:val="22"/>
        </w:rPr>
        <w:t xml:space="preserve">             min_{cᵢ ∈ W*} SDS(q, cᵢ) ≥ δ_SDC    [no semantic drift]</w:t>
      </w:r>
    </w:p>
    <w:p>
      <w:pPr>
        <w:spacing w:before="80" w:after="200"/>
        <w:jc w:val="center"/>
      </w:pPr>
      <w:r>
        <w:rPr>
          <w:rFonts w:ascii="Cambria Math" w:hAnsi="Cambria Math"/>
          <w:b w:val="0"/>
          <w:i/>
          <w:color w:val="1A1230"/>
          <w:sz w:val="22"/>
        </w:rPr>
        <w:t xml:space="preserve">             ΔR(LLM(W*, q), W*) ≤ δ_FV         [faithful generation]</w:t>
      </w:r>
    </w:p>
    <w:p>
      <w:pPr>
        <w:spacing w:before="0" w:after="200"/>
        <w:jc w:val="both"/>
      </w:pPr>
      <w:r>
        <w:rPr>
          <w:rFonts w:ascii="Times New Roman" w:hAnsi="Times New Roman"/>
          <w:b w:val="0"/>
          <w:i w:val="0"/>
          <w:sz w:val="21"/>
        </w:rPr>
        <w:t>where Φ̃ is the normalized Phi-score (§5.4), ESR is the Effective Signal Ratio (§5.3), SDS is the Semantic Drift Score (§5.2), and ΔR is the Delta-R hallucination score (§5.6).</w:t>
      </w:r>
    </w:p>
    <w:p>
      <w:pPr>
        <w:spacing w:before="360" w:after="160"/>
        <w:jc w:val="left"/>
        <w:pBdr>
          <w:bottom w:val="single" w:sz="4" w:space="4" w:color="6C47FF"/>
        </w:pBdr>
      </w:pPr>
      <w:r>
        <w:rPr>
          <w:rFonts w:ascii="Times New Roman" w:hAnsi="Times New Roman"/>
          <w:b/>
          <w:i w:val="0"/>
          <w:color w:val="6C47FF"/>
          <w:sz w:val="28"/>
        </w:rPr>
        <w:t>4   Architecture Overview</w:t>
      </w:r>
    </w:p>
    <w:p>
      <w:pPr>
        <w:spacing w:before="0" w:after="240"/>
        <w:ind w:firstLine="360"/>
        <w:jc w:val="both"/>
      </w:pPr>
      <w:r>
        <w:rPr>
          <w:rFonts w:ascii="Times New Roman" w:hAnsi="Times New Roman"/>
          <w:b w:val="0"/>
          <w:i w:val="0"/>
          <w:sz w:val="21"/>
        </w:rPr>
        <w:t>VORTEXRAG processes each query through a seven-layer pipeline illustrated in Figure 1. Layers 0–2 encode and retrieve; layers 3a–3b filter for semantic drift and collective poisoning in parallel; layers 4–5 rank and order; layer 6 generates; and layer 7 verifies faithfulness with a regeneration feedback loop.</w:t>
      </w:r>
    </w:p>
    <w:tbl>
      <w:tblPr>
        <w:tblStyle w:val="TableGrid"/>
        <w:tblW w:type="auto" w:w="0"/>
        <w:jc w:val="center"/>
        <w:tblLook w:firstColumn="1" w:firstRow="1" w:lastColumn="0" w:lastRow="0" w:noHBand="0" w:noVBand="1" w:val="04A0"/>
      </w:tblPr>
      <w:tblGrid>
        <w:gridCol w:w="3009"/>
        <w:gridCol w:w="3009"/>
        <w:gridCol w:w="3009"/>
      </w:tblGrid>
      <w:tr>
        <w:tc>
          <w:tcPr>
            <w:tcW w:type="dxa" w:w="3009"/>
            <w:shd w:val="clear" w:color="auto" w:fill="E8E4F8"/>
          </w:tcPr>
          <w:p>
            <w:r>
              <w:rPr>
                <w:rFonts w:ascii="Times New Roman" w:hAnsi="Times New Roman"/>
                <w:b/>
                <w:sz w:val="19"/>
              </w:rPr>
              <w:t>Layer 0</w:t>
            </w:r>
          </w:p>
        </w:tc>
        <w:tc>
          <w:tcPr>
            <w:tcW w:type="dxa" w:w="3009"/>
            <w:shd w:val="clear" w:color="auto" w:fill="E8E4F8"/>
          </w:tcPr>
          <w:p>
            <w:r>
              <w:rPr>
                <w:rFonts w:ascii="Times New Roman" w:hAnsi="Times New Roman"/>
                <w:b/>
                <w:sz w:val="19"/>
              </w:rPr>
              <w:t>Preprocessing</w:t>
            </w:r>
          </w:p>
        </w:tc>
        <w:tc>
          <w:tcPr>
            <w:tcW w:type="dxa" w:w="3009"/>
            <w:shd w:val="clear" w:color="auto" w:fill="E8E4F8"/>
          </w:tcPr>
          <w:p>
            <w:r>
              <w:rPr>
                <w:rFonts w:ascii="Times New Roman" w:hAnsi="Times New Roman"/>
                <w:sz w:val="19"/>
              </w:rPr>
              <w:t>Chunking (512 tok / 64 overlap) · Parse Trees (spaCy) · Causal Graph · FAISS Index</w:t>
            </w:r>
          </w:p>
        </w:tc>
      </w:tr>
      <w:tr>
        <w:tc>
          <w:tcPr>
            <w:tcW w:type="dxa" w:w="3009"/>
            <w:shd w:val="clear" w:color="auto" w:fill="D4CCF5"/>
          </w:tcPr>
          <w:p>
            <w:r>
              <w:rPr>
                <w:rFonts w:ascii="Times New Roman" w:hAnsi="Times New Roman"/>
                <w:b/>
                <w:sz w:val="19"/>
              </w:rPr>
              <w:t>Layer 1</w:t>
            </w:r>
          </w:p>
        </w:tc>
        <w:tc>
          <w:tcPr>
            <w:tcW w:type="dxa" w:w="3009"/>
            <w:shd w:val="clear" w:color="auto" w:fill="D4CCF5"/>
          </w:tcPr>
          <w:p>
            <w:r>
              <w:rPr>
                <w:rFonts w:ascii="Times New Roman" w:hAnsi="Times New Roman"/>
                <w:b/>
                <w:sz w:val="19"/>
              </w:rPr>
              <w:t>Tri-Vector Encoder (TVE)</w:t>
            </w:r>
          </w:p>
        </w:tc>
        <w:tc>
          <w:tcPr>
            <w:tcW w:type="dxa" w:w="3009"/>
            <w:shd w:val="clear" w:color="auto" w:fill="D4CCF5"/>
          </w:tcPr>
          <w:p>
            <w:r>
              <w:rPr>
                <w:rFonts w:ascii="Times New Roman" w:hAnsi="Times New Roman"/>
                <w:sz w:val="19"/>
              </w:rPr>
              <w:t>v_sem (SBERT 768d) + v_syn (64d) + v_cau (32d) → Q_TVE ∈ ℝ⁸⁶⁴</w:t>
            </w:r>
          </w:p>
        </w:tc>
      </w:tr>
      <w:tr>
        <w:tc>
          <w:tcPr>
            <w:tcW w:type="dxa" w:w="3009"/>
            <w:shd w:val="clear" w:color="auto" w:fill="BFB3F2"/>
          </w:tcPr>
          <w:p>
            <w:r>
              <w:rPr>
                <w:rFonts w:ascii="Times New Roman" w:hAnsi="Times New Roman"/>
                <w:b/>
                <w:sz w:val="19"/>
              </w:rPr>
              <w:t>Layer 2</w:t>
            </w:r>
          </w:p>
        </w:tc>
        <w:tc>
          <w:tcPr>
            <w:tcW w:type="dxa" w:w="3009"/>
            <w:shd w:val="clear" w:color="auto" w:fill="BFB3F2"/>
          </w:tcPr>
          <w:p>
            <w:r>
              <w:rPr>
                <w:rFonts w:ascii="Times New Roman" w:hAnsi="Times New Roman"/>
                <w:b/>
                <w:sz w:val="19"/>
              </w:rPr>
              <w:t>Vortex Retrieval Cone (VRC)</w:t>
            </w:r>
          </w:p>
        </w:tc>
        <w:tc>
          <w:tcPr>
            <w:tcW w:type="dxa" w:w="3009"/>
            <w:shd w:val="clear" w:color="auto" w:fill="BFB3F2"/>
          </w:tcPr>
          <w:p>
            <w:r>
              <w:rPr>
                <w:rFonts w:ascii="Times New Roman" w:hAnsi="Times New Roman"/>
                <w:sz w:val="19"/>
              </w:rPr>
              <w:t>spiral_rank = TVE · e^(−λr) · cos(nθ) → 200 candidates</w:t>
            </w:r>
          </w:p>
        </w:tc>
      </w:tr>
      <w:tr>
        <w:tc>
          <w:tcPr>
            <w:tcW w:type="dxa" w:w="3009"/>
            <w:shd w:val="clear" w:color="auto" w:fill="E8D8C8"/>
          </w:tcPr>
          <w:p>
            <w:r>
              <w:rPr>
                <w:rFonts w:ascii="Times New Roman" w:hAnsi="Times New Roman"/>
                <w:b/>
                <w:sz w:val="19"/>
              </w:rPr>
              <w:t>Layer 3a</w:t>
            </w:r>
          </w:p>
        </w:tc>
        <w:tc>
          <w:tcPr>
            <w:tcW w:type="dxa" w:w="3009"/>
            <w:shd w:val="clear" w:color="auto" w:fill="E8D8C8"/>
          </w:tcPr>
          <w:p>
            <w:r>
              <w:rPr>
                <w:rFonts w:ascii="Times New Roman" w:hAnsi="Times New Roman"/>
                <w:b/>
                <w:sz w:val="19"/>
              </w:rPr>
              <w:t>Semantic Drift Corrector (SDC)</w:t>
            </w:r>
          </w:p>
        </w:tc>
        <w:tc>
          <w:tcPr>
            <w:tcW w:type="dxa" w:w="3009"/>
            <w:shd w:val="clear" w:color="auto" w:fill="E8D8C8"/>
          </w:tcPr>
          <w:p>
            <w:r>
              <w:rPr>
                <w:rFonts w:ascii="Times New Roman" w:hAnsi="Times New Roman"/>
                <w:sz w:val="19"/>
              </w:rPr>
              <w:t>SDS = 1 − tanh(‖D‖/τ)  ≥  δ_SDC = 0.72</w:t>
            </w:r>
          </w:p>
        </w:tc>
      </w:tr>
      <w:tr>
        <w:tc>
          <w:tcPr>
            <w:tcW w:type="dxa" w:w="3009"/>
            <w:shd w:val="clear" w:color="auto" w:fill="E8D8C8"/>
          </w:tcPr>
          <w:p>
            <w:r>
              <w:rPr>
                <w:rFonts w:ascii="Times New Roman" w:hAnsi="Times New Roman"/>
                <w:b/>
                <w:sz w:val="19"/>
              </w:rPr>
              <w:t>Layer 3b</w:t>
            </w:r>
          </w:p>
        </w:tc>
        <w:tc>
          <w:tcPr>
            <w:tcW w:type="dxa" w:w="3009"/>
            <w:shd w:val="clear" w:color="auto" w:fill="E8D8C8"/>
          </w:tcPr>
          <w:p>
            <w:r>
              <w:rPr>
                <w:rFonts w:ascii="Times New Roman" w:hAnsi="Times New Roman"/>
                <w:b/>
                <w:sz w:val="19"/>
              </w:rPr>
              <w:t>Context Poison Guard (CPG)</w:t>
            </w:r>
          </w:p>
        </w:tc>
        <w:tc>
          <w:tcPr>
            <w:tcW w:type="dxa" w:w="3009"/>
            <w:shd w:val="clear" w:color="auto" w:fill="E8D8C8"/>
          </w:tcPr>
          <w:p>
            <w:r>
              <w:rPr>
                <w:rFonts w:ascii="Times New Roman" w:hAnsi="Times New Roman"/>
                <w:sz w:val="19"/>
              </w:rPr>
              <w:t>ESR = Σ SDS·w / (P+ε)  ≥  θ_CPG = 3.5</w:t>
            </w:r>
          </w:p>
        </w:tc>
      </w:tr>
      <w:tr>
        <w:tc>
          <w:tcPr>
            <w:tcW w:type="dxa" w:w="3009"/>
            <w:shd w:val="clear" w:color="auto" w:fill="C8D8F0"/>
          </w:tcPr>
          <w:p>
            <w:r>
              <w:rPr>
                <w:rFonts w:ascii="Times New Roman" w:hAnsi="Times New Roman"/>
                <w:b/>
                <w:sz w:val="19"/>
              </w:rPr>
              <w:t>Layer 4</w:t>
            </w:r>
          </w:p>
        </w:tc>
        <w:tc>
          <w:tcPr>
            <w:tcW w:type="dxa" w:w="3009"/>
            <w:shd w:val="clear" w:color="auto" w:fill="C8D8F0"/>
          </w:tcPr>
          <w:p>
            <w:r>
              <w:rPr>
                <w:rFonts w:ascii="Times New Roman" w:hAnsi="Times New Roman"/>
                <w:b/>
                <w:sz w:val="19"/>
              </w:rPr>
              <w:t>Rank Fusion Gate (RFG)</w:t>
            </w:r>
          </w:p>
        </w:tc>
        <w:tc>
          <w:tcPr>
            <w:tcW w:type="dxa" w:w="3009"/>
            <w:shd w:val="clear" w:color="auto" w:fill="C8D8F0"/>
          </w:tcPr>
          <w:p>
            <w:r>
              <w:rPr>
                <w:rFonts w:ascii="Times New Roman" w:hAnsi="Times New Roman"/>
                <w:sz w:val="19"/>
              </w:rPr>
              <w:t>Φ = TVE^α × SDS^β × ESR^γ  →  top-m by Φ̃</w:t>
            </w:r>
          </w:p>
        </w:tc>
      </w:tr>
      <w:tr>
        <w:tc>
          <w:tcPr>
            <w:tcW w:type="dxa" w:w="3009"/>
            <w:shd w:val="clear" w:color="auto" w:fill="C8EAD8"/>
          </w:tcPr>
          <w:p>
            <w:r>
              <w:rPr>
                <w:rFonts w:ascii="Times New Roman" w:hAnsi="Times New Roman"/>
                <w:b/>
                <w:sz w:val="19"/>
              </w:rPr>
              <w:t>Layer 5</w:t>
            </w:r>
          </w:p>
        </w:tc>
        <w:tc>
          <w:tcPr>
            <w:tcW w:type="dxa" w:w="3009"/>
            <w:shd w:val="clear" w:color="auto" w:fill="C8EAD8"/>
          </w:tcPr>
          <w:p>
            <w:r>
              <w:rPr>
                <w:rFonts w:ascii="Times New Roman" w:hAnsi="Times New Roman"/>
                <w:b/>
                <w:sz w:val="19"/>
              </w:rPr>
              <w:t>Causal Context Builder (CCB)</w:t>
            </w:r>
          </w:p>
        </w:tc>
        <w:tc>
          <w:tcPr>
            <w:tcW w:type="dxa" w:w="3009"/>
            <w:shd w:val="clear" w:color="auto" w:fill="C8EAD8"/>
          </w:tcPr>
          <w:p>
            <w:r>
              <w:rPr>
                <w:rFonts w:ascii="Times New Roman" w:hAnsi="Times New Roman"/>
                <w:sz w:val="19"/>
              </w:rPr>
              <w:t>pos = rank(Φ̃) × causal_depth → ordered W*</w:t>
            </w:r>
          </w:p>
        </w:tc>
      </w:tr>
      <w:tr>
        <w:tc>
          <w:tcPr>
            <w:tcW w:type="dxa" w:w="3009"/>
            <w:shd w:val="clear" w:color="auto" w:fill="F0E8C8"/>
          </w:tcPr>
          <w:p>
            <w:r>
              <w:rPr>
                <w:rFonts w:ascii="Times New Roman" w:hAnsi="Times New Roman"/>
                <w:b/>
                <w:sz w:val="19"/>
              </w:rPr>
              <w:t>Layer 6</w:t>
            </w:r>
          </w:p>
        </w:tc>
        <w:tc>
          <w:tcPr>
            <w:tcW w:type="dxa" w:w="3009"/>
            <w:shd w:val="clear" w:color="auto" w:fill="F0E8C8"/>
          </w:tcPr>
          <w:p>
            <w:r>
              <w:rPr>
                <w:rFonts w:ascii="Times New Roman" w:hAnsi="Times New Roman"/>
                <w:b/>
                <w:sz w:val="19"/>
              </w:rPr>
              <w:t>LLM Generation</w:t>
            </w:r>
          </w:p>
        </w:tc>
        <w:tc>
          <w:tcPr>
            <w:tcW w:type="dxa" w:w="3009"/>
            <w:shd w:val="clear" w:color="auto" w:fill="F0E8C8"/>
          </w:tcPr>
          <w:p>
            <w:r>
              <w:rPr>
                <w:rFonts w:ascii="Times New Roman" w:hAnsi="Times New Roman"/>
                <w:sz w:val="19"/>
              </w:rPr>
              <w:t>Prompt = system prompt + W* + query → answer a</w:t>
            </w:r>
          </w:p>
        </w:tc>
      </w:tr>
      <w:tr>
        <w:tc>
          <w:tcPr>
            <w:tcW w:type="dxa" w:w="3009"/>
            <w:shd w:val="clear" w:color="auto" w:fill="F0C8D8"/>
          </w:tcPr>
          <w:p>
            <w:r>
              <w:rPr>
                <w:rFonts w:ascii="Times New Roman" w:hAnsi="Times New Roman"/>
                <w:b/>
                <w:sz w:val="19"/>
              </w:rPr>
              <w:t>Layer 7</w:t>
            </w:r>
          </w:p>
        </w:tc>
        <w:tc>
          <w:tcPr>
            <w:tcW w:type="dxa" w:w="3009"/>
            <w:shd w:val="clear" w:color="auto" w:fill="F0C8D8"/>
          </w:tcPr>
          <w:p>
            <w:r>
              <w:rPr>
                <w:rFonts w:ascii="Times New Roman" w:hAnsi="Times New Roman"/>
                <w:b/>
                <w:sz w:val="19"/>
              </w:rPr>
              <w:t>Faithfulness Verifier (FV)</w:t>
            </w:r>
          </w:p>
        </w:tc>
        <w:tc>
          <w:tcPr>
            <w:tcW w:type="dxa" w:w="3009"/>
            <w:shd w:val="clear" w:color="auto" w:fill="F0C8D8"/>
          </w:tcPr>
          <w:p>
            <w:r>
              <w:rPr>
                <w:rFonts w:ascii="Times New Roman" w:hAnsi="Times New Roman"/>
                <w:sz w:val="19"/>
              </w:rPr>
              <w:t>ΔR = 1 − ROUGE-L × NLI  ≤  δ_FV = 0.15  → accept / retry</w:t>
            </w:r>
          </w:p>
        </w:tc>
      </w:tr>
      <w:tr>
        <w:tc>
          <w:tcPr>
            <w:tcW w:type="dxa" w:w="3009"/>
            <w:shd w:val="clear" w:color="auto" w:fill="F5F5F5"/>
          </w:tcPr>
          <w:p>
            <w:r>
              <w:rPr>
                <w:rFonts w:ascii="Times New Roman" w:hAnsi="Times New Roman"/>
                <w:b/>
                <w:sz w:val="19"/>
              </w:rPr>
              <w:t>→ Loop</w:t>
            </w:r>
          </w:p>
        </w:tc>
        <w:tc>
          <w:tcPr>
            <w:tcW w:type="dxa" w:w="3009"/>
            <w:shd w:val="clear" w:color="auto" w:fill="F5F5F5"/>
          </w:tcPr>
          <w:p>
            <w:r>
              <w:rPr>
                <w:rFonts w:ascii="Times New Roman" w:hAnsi="Times New Roman"/>
                <w:b/>
                <w:sz w:val="19"/>
              </w:rPr>
              <w:t>Regeneration</w:t>
            </w:r>
          </w:p>
        </w:tc>
        <w:tc>
          <w:tcPr>
            <w:tcW w:type="dxa" w:w="3009"/>
            <w:shd w:val="clear" w:color="auto" w:fill="F5F5F5"/>
          </w:tcPr>
          <w:p>
            <w:r>
              <w:rPr>
                <w:rFonts w:ascii="Times New Roman" w:hAnsi="Times New Roman"/>
                <w:sz w:val="19"/>
              </w:rPr>
              <w:t>If ΔR &gt; δ_FV: re-rank via RFG, regenerate (max 3×)</w:t>
            </w:r>
          </w:p>
        </w:tc>
      </w:tr>
    </w:tbl>
    <w:p>
      <w:pPr>
        <w:spacing w:before="120" w:after="320"/>
        <w:jc w:val="center"/>
      </w:pPr>
      <w:r>
        <w:rPr>
          <w:rFonts w:ascii="Times New Roman" w:hAnsi="Times New Roman"/>
          <w:b w:val="0"/>
          <w:i/>
          <w:color w:val="5A5560"/>
          <w:sz w:val="19"/>
        </w:rPr>
        <w:t>Figure 1: VORTEXRAG 7-Layer Pipeline Architecture. Layers 3a and 3b run in parallel. The FV feedback loop connects Layer 7 back to Layer 4 for up to 3 regeneration attempts.</w:t>
      </w:r>
    </w:p>
    <w:p>
      <w:pPr>
        <w:spacing w:before="360" w:after="160"/>
        <w:jc w:val="left"/>
        <w:pBdr>
          <w:bottom w:val="single" w:sz="4" w:space="4" w:color="6C47FF"/>
        </w:pBdr>
      </w:pPr>
      <w:r>
        <w:rPr>
          <w:rFonts w:ascii="Times New Roman" w:hAnsi="Times New Roman"/>
          <w:b/>
          <w:i w:val="0"/>
          <w:color w:val="6C47FF"/>
          <w:sz w:val="28"/>
        </w:rPr>
        <w:t>5   Methodology</w:t>
      </w:r>
    </w:p>
    <w:p>
      <w:pPr>
        <w:spacing w:before="280" w:after="160"/>
        <w:jc w:val="left"/>
      </w:pPr>
      <w:r>
        <w:rPr>
          <w:rFonts w:ascii="Times New Roman" w:hAnsi="Times New Roman"/>
          <w:b/>
          <w:i w:val="0"/>
          <w:color w:val="1A1230"/>
          <w:sz w:val="24"/>
        </w:rPr>
        <w:t>5.1  Tri-Vector Encoding (TVE)</w:t>
      </w:r>
    </w:p>
    <w:p>
      <w:pPr>
        <w:spacing w:before="0" w:after="120"/>
        <w:ind w:firstLine="360"/>
        <w:jc w:val="both"/>
      </w:pPr>
      <w:r>
        <w:rPr>
          <w:rFonts w:ascii="Times New Roman" w:hAnsi="Times New Roman"/>
          <w:b w:val="0"/>
          <w:i w:val="0"/>
          <w:sz w:val="21"/>
        </w:rPr>
        <w:t>For every text fragment x (query or chunk), TVE computes three L2-normalized representation vectors from orthogonal feature spaces. The three arms are designed to be informationally orthogonal: each captures aspects of text that the others cannot, enabling a richer, non-redundant similarity signal.</w:t>
      </w:r>
    </w:p>
    <w:p>
      <w:pPr>
        <w:spacing w:before="160" w:after="80"/>
        <w:jc w:val="left"/>
      </w:pPr>
      <w:r>
        <w:rPr>
          <w:rFonts w:ascii="Times New Roman" w:hAnsi="Times New Roman"/>
          <w:b/>
          <w:i w:val="0"/>
          <w:color w:val="1A1230"/>
          <w:sz w:val="22"/>
        </w:rPr>
        <w:t>5.1.1  Semantic Arm.</w:t>
      </w:r>
    </w:p>
    <w:p>
      <w:pPr>
        <w:spacing w:before="0" w:after="40"/>
        <w:jc w:val="both"/>
      </w:pPr>
      <w:r>
        <w:rPr>
          <w:rFonts w:ascii="Times New Roman" w:hAnsi="Times New Roman"/>
          <w:b w:val="0"/>
          <w:i w:val="0"/>
          <w:sz w:val="21"/>
        </w:rPr>
        <w:t>The semantic arm uses a pre-trained Sentence-BERT model (all-mpnet-base-v2) to embed x:</w:t>
      </w:r>
    </w:p>
    <w:p>
      <w:pPr>
        <w:spacing w:before="80" w:after="200"/>
        <w:jc w:val="center"/>
      </w:pPr>
      <w:r>
        <w:rPr>
          <w:rFonts w:ascii="Cambria Math" w:hAnsi="Cambria Math"/>
          <w:b w:val="0"/>
          <w:i/>
          <w:color w:val="1A1230"/>
          <w:sz w:val="22"/>
        </w:rPr>
        <w:t>v_sem(x)  =  SBERT(x)  ∈  ℝ⁷⁶⁸,     ‖v_sem‖₂ = 1</w:t>
      </w:r>
    </w:p>
    <w:p>
      <w:pPr>
        <w:spacing w:before="0" w:after="160"/>
        <w:jc w:val="both"/>
      </w:pPr>
      <w:r>
        <w:rPr>
          <w:rFonts w:ascii="Times New Roman" w:hAnsi="Times New Roman"/>
          <w:b w:val="0"/>
          <w:i w:val="0"/>
          <w:sz w:val="21"/>
        </w:rPr>
        <w:t>This arm captures the topical meaning, entity co-occurrence, and distributional semantics of x.</w:t>
      </w:r>
    </w:p>
    <w:p>
      <w:pPr>
        <w:spacing w:before="160" w:after="80"/>
        <w:jc w:val="left"/>
      </w:pPr>
      <w:r>
        <w:rPr>
          <w:rFonts w:ascii="Times New Roman" w:hAnsi="Times New Roman"/>
          <w:b/>
          <w:i w:val="0"/>
          <w:color w:val="1A1230"/>
          <w:sz w:val="22"/>
        </w:rPr>
        <w:t>5.1.2  Syntactic Arm.</w:t>
      </w:r>
    </w:p>
    <w:p>
      <w:pPr>
        <w:spacing w:before="0" w:after="40"/>
        <w:jc w:val="both"/>
      </w:pPr>
      <w:r>
        <w:rPr>
          <w:rFonts w:ascii="Times New Roman" w:hAnsi="Times New Roman"/>
          <w:b w:val="0"/>
          <w:i w:val="0"/>
          <w:sz w:val="21"/>
        </w:rPr>
        <w:t>The syntactic arm extracts a 64-dimensional feature vector φ_syn(x) from the dependency parse tree produced by spaCy. Features include the POS-tag distribution (17 UPOS categories), dependency relation distribution (40 UD relations), mean arc length, maximum parse tree depth, clause count, passive voice indicator, question word presence, and negation count. A fixed random projection matrix W_syn ∈ ℝ⁶⁴ˣᵖ (orthogonal initialization, seed=42) maps this to the syntactic embedding:</w:t>
      </w:r>
    </w:p>
    <w:p>
      <w:pPr>
        <w:spacing w:before="80" w:after="200"/>
        <w:jc w:val="center"/>
      </w:pPr>
      <w:r>
        <w:rPr>
          <w:rFonts w:ascii="Cambria Math" w:hAnsi="Cambria Math"/>
          <w:b w:val="0"/>
          <w:i/>
          <w:color w:val="1A1230"/>
          <w:sz w:val="22"/>
        </w:rPr>
        <w:t>v_syn(x)  =  ℓ₂-norm(W_syn · φ_syn(x))  ∈  ℝ⁶⁴</w:t>
      </w:r>
    </w:p>
    <w:p>
      <w:pPr>
        <w:spacing w:before="0" w:after="160"/>
        <w:jc w:val="both"/>
      </w:pPr>
      <w:r>
        <w:rPr>
          <w:rFonts w:ascii="Times New Roman" w:hAnsi="Times New Roman"/>
          <w:b w:val="0"/>
          <w:i w:val="0"/>
          <w:sz w:val="21"/>
        </w:rPr>
        <w:t>The fixed (non-learned) projection preserves the orthogonality guarantee between arms.</w:t>
      </w:r>
    </w:p>
    <w:p>
      <w:pPr>
        <w:spacing w:before="160" w:after="80"/>
        <w:jc w:val="left"/>
      </w:pPr>
      <w:r>
        <w:rPr>
          <w:rFonts w:ascii="Times New Roman" w:hAnsi="Times New Roman"/>
          <w:b/>
          <w:i w:val="0"/>
          <w:color w:val="1A1230"/>
          <w:sz w:val="22"/>
        </w:rPr>
        <w:t>5.1.3  Causal Arm.</w:t>
      </w:r>
    </w:p>
    <w:p>
      <w:pPr>
        <w:spacing w:before="0" w:after="40"/>
        <w:jc w:val="both"/>
      </w:pPr>
      <w:r>
        <w:rPr>
          <w:rFonts w:ascii="Times New Roman" w:hAnsi="Times New Roman"/>
          <w:b w:val="0"/>
          <w:i w:val="0"/>
          <w:sz w:val="21"/>
        </w:rPr>
        <w:t>The causal arm computes a 32-dimensional causal fingerprint φ_cau(x) from: causal connective density (because, therefore, consequently, leads to, results in, causes, enables, triggers — normalized by sentence length), causal verb density (39 causal verbs identified from PropBank), entity co-occurrence in causal syntactic positions (nsubj of causal verbs), and temporal ordering marker count. A second random projection W_cau ∈ ℝ³²ˣq (seed=1337) produces:</w:t>
      </w:r>
    </w:p>
    <w:p>
      <w:pPr>
        <w:spacing w:before="80" w:after="200"/>
        <w:jc w:val="center"/>
      </w:pPr>
      <w:r>
        <w:rPr>
          <w:rFonts w:ascii="Cambria Math" w:hAnsi="Cambria Math"/>
          <w:b w:val="0"/>
          <w:i/>
          <w:color w:val="1A1230"/>
          <w:sz w:val="22"/>
        </w:rPr>
        <w:t>v_cau(x)  =  ℓ₂-norm(W_cau · φ_cau(x))  ∈  ℝ³²</w:t>
      </w:r>
    </w:p>
    <w:p>
      <w:pPr>
        <w:spacing w:before="160" w:after="80"/>
        <w:jc w:val="left"/>
      </w:pPr>
      <w:r>
        <w:rPr>
          <w:rFonts w:ascii="Times New Roman" w:hAnsi="Times New Roman"/>
          <w:b/>
          <w:i w:val="0"/>
          <w:color w:val="1A1230"/>
          <w:sz w:val="22"/>
        </w:rPr>
        <w:t>5.1.4  TVE Score.</w:t>
      </w:r>
    </w:p>
    <w:p>
      <w:pPr>
        <w:spacing w:before="0" w:after="40"/>
        <w:jc w:val="both"/>
      </w:pPr>
      <w:r>
        <w:rPr>
          <w:rFonts w:ascii="Times New Roman" w:hAnsi="Times New Roman"/>
          <w:b w:val="0"/>
          <w:i w:val="0"/>
          <w:sz w:val="21"/>
        </w:rPr>
        <w:t>The overall tri-vector similarity between query q and chunk cᵢ is:</w:t>
      </w:r>
    </w:p>
    <w:p>
      <w:pPr>
        <w:spacing w:before="80" w:after="200"/>
        <w:jc w:val="center"/>
      </w:pPr>
      <w:r>
        <w:rPr>
          <w:rFonts w:ascii="Cambria Math" w:hAnsi="Cambria Math"/>
          <w:b w:val="0"/>
          <w:i/>
          <w:color w:val="1A1230"/>
          <w:sz w:val="22"/>
        </w:rPr>
        <w:t>TVE_score(q, cᵢ) = α·⟨v_sem(q), v_sem(cᵢ)⟩ + β·⟨v_syn(q), v_syn(cᵢ)⟩ + γ·⟨v_cau(q), v_cau(cᵢ)⟩</w:t>
      </w:r>
    </w:p>
    <w:p>
      <w:pPr>
        <w:spacing w:before="80" w:after="200"/>
        <w:jc w:val="center"/>
      </w:pPr>
      <w:r>
        <w:rPr>
          <w:rFonts w:ascii="Cambria Math" w:hAnsi="Cambria Math"/>
          <w:b w:val="0"/>
          <w:i/>
          <w:color w:val="1A1230"/>
          <w:sz w:val="22"/>
        </w:rPr>
        <w:t>where  α + β + γ = 1,    α,β,γ &gt; 0</w:t>
      </w:r>
    </w:p>
    <w:p>
      <w:pPr>
        <w:spacing w:before="0" w:after="160"/>
        <w:jc w:val="both"/>
      </w:pPr>
      <w:r>
        <w:rPr>
          <w:rFonts w:ascii="Times New Roman" w:hAnsi="Times New Roman"/>
          <w:b w:val="0"/>
          <w:i w:val="0"/>
          <w:sz w:val="21"/>
        </w:rPr>
        <w:t>Domain-specific presets calibrate (α, β, γ) to the information bottleneck of each domain (Table 1).</w:t>
      </w:r>
    </w:p>
    <w:p>
      <w:pPr>
        <w:spacing w:before="120" w:after="80"/>
        <w:jc w:val="left"/>
      </w:pPr>
      <w:r>
        <w:rPr>
          <w:rFonts w:ascii="Times New Roman" w:hAnsi="Times New Roman"/>
          <w:b/>
          <w:i w:val="0"/>
          <w:color w:val="1A1230"/>
          <w:sz w:val="22"/>
        </w:rPr>
        <w:t>Table 1: TVE and RFG Domain Weight Presets.</w:t>
      </w:r>
    </w:p>
    <w:tbl>
      <w:tblPr>
        <w:tblStyle w:val="TableGrid"/>
        <w:tblW w:type="auto" w:w="0"/>
        <w:jc w:val="center"/>
        <w:tblLook w:firstColumn="1" w:firstRow="1" w:lastColumn="0" w:lastRow="0" w:noHBand="0" w:noVBand="1" w:val="04A0"/>
      </w:tblPr>
      <w:tblGrid>
        <w:gridCol w:w="1289"/>
        <w:gridCol w:w="1289"/>
        <w:gridCol w:w="1289"/>
        <w:gridCol w:w="1289"/>
        <w:gridCol w:w="1289"/>
        <w:gridCol w:w="1289"/>
        <w:gridCol w:w="1289"/>
      </w:tblGrid>
      <w:tr>
        <w:tc>
          <w:tcPr>
            <w:tcW w:type="dxa" w:w="1289"/>
            <w:shd w:val="clear" w:color="auto" w:fill="6C47FF"/>
          </w:tcPr>
          <w:p>
            <w:r>
              <w:rPr>
                <w:rFonts w:ascii="Times New Roman" w:hAnsi="Times New Roman"/>
                <w:b/>
                <w:color w:val="FFFFFF"/>
                <w:sz w:val="18"/>
              </w:rPr>
              <w:t>Domain</w:t>
            </w:r>
          </w:p>
        </w:tc>
        <w:tc>
          <w:tcPr>
            <w:tcW w:type="dxa" w:w="1289"/>
            <w:shd w:val="clear" w:color="auto" w:fill="6C47FF"/>
          </w:tcPr>
          <w:p>
            <w:r>
              <w:rPr>
                <w:rFonts w:ascii="Times New Roman" w:hAnsi="Times New Roman"/>
                <w:b/>
                <w:color w:val="FFFFFF"/>
                <w:sz w:val="18"/>
              </w:rPr>
              <w:t>α (sem)</w:t>
            </w:r>
          </w:p>
        </w:tc>
        <w:tc>
          <w:tcPr>
            <w:tcW w:type="dxa" w:w="1289"/>
            <w:shd w:val="clear" w:color="auto" w:fill="6C47FF"/>
          </w:tcPr>
          <w:p>
            <w:r>
              <w:rPr>
                <w:rFonts w:ascii="Times New Roman" w:hAnsi="Times New Roman"/>
                <w:b/>
                <w:color w:val="FFFFFF"/>
                <w:sz w:val="18"/>
              </w:rPr>
              <w:t>β (syn)</w:t>
            </w:r>
          </w:p>
        </w:tc>
        <w:tc>
          <w:tcPr>
            <w:tcW w:type="dxa" w:w="1289"/>
            <w:shd w:val="clear" w:color="auto" w:fill="6C47FF"/>
          </w:tcPr>
          <w:p>
            <w:r>
              <w:rPr>
                <w:rFonts w:ascii="Times New Roman" w:hAnsi="Times New Roman"/>
                <w:b/>
                <w:color w:val="FFFFFF"/>
                <w:sz w:val="18"/>
              </w:rPr>
              <w:t>γ (cau)</w:t>
            </w:r>
          </w:p>
        </w:tc>
        <w:tc>
          <w:tcPr>
            <w:tcW w:type="dxa" w:w="1289"/>
            <w:shd w:val="clear" w:color="auto" w:fill="6C47FF"/>
          </w:tcPr>
          <w:p>
            <w:r>
              <w:rPr>
                <w:rFonts w:ascii="Times New Roman" w:hAnsi="Times New Roman"/>
                <w:b/>
                <w:color w:val="FFFFFF"/>
                <w:sz w:val="18"/>
              </w:rPr>
              <w:t>τ (SDC)</w:t>
            </w:r>
          </w:p>
        </w:tc>
        <w:tc>
          <w:tcPr>
            <w:tcW w:type="dxa" w:w="1289"/>
            <w:shd w:val="clear" w:color="auto" w:fill="6C47FF"/>
          </w:tcPr>
          <w:p>
            <w:r>
              <w:rPr>
                <w:rFonts w:ascii="Times New Roman" w:hAnsi="Times New Roman"/>
                <w:b/>
                <w:color w:val="FFFFFF"/>
                <w:sz w:val="18"/>
              </w:rPr>
              <w:t>θ_CPG</w:t>
            </w:r>
          </w:p>
        </w:tc>
        <w:tc>
          <w:tcPr>
            <w:tcW w:type="dxa" w:w="1289"/>
            <w:shd w:val="clear" w:color="auto" w:fill="6C47FF"/>
          </w:tcPr>
          <w:p>
            <w:r>
              <w:rPr>
                <w:rFonts w:ascii="Times New Roman" w:hAnsi="Times New Roman"/>
                <w:b/>
                <w:color w:val="FFFFFF"/>
                <w:sz w:val="18"/>
              </w:rPr>
              <w:t>Bottleneck</w:t>
            </w:r>
          </w:p>
        </w:tc>
      </w:tr>
      <w:tr>
        <w:tc>
          <w:tcPr>
            <w:tcW w:type="dxa" w:w="1289"/>
            <w:shd w:val="clear" w:color="auto" w:fill="EEE9FF"/>
          </w:tcPr>
          <w:p>
            <w:r>
              <w:rPr>
                <w:rFonts w:ascii="Times New Roman" w:hAnsi="Times New Roman"/>
                <w:b/>
                <w:sz w:val="18"/>
              </w:rPr>
              <w:t>scientific</w:t>
            </w:r>
          </w:p>
        </w:tc>
        <w:tc>
          <w:tcPr>
            <w:tcW w:type="dxa" w:w="1289"/>
            <w:shd w:val="clear" w:color="auto" w:fill="EEE9FF"/>
          </w:tcPr>
          <w:p>
            <w:r>
              <w:rPr>
                <w:rFonts w:ascii="Times New Roman" w:hAnsi="Times New Roman"/>
                <w:sz w:val="18"/>
              </w:rPr>
              <w:t>0.40</w:t>
            </w:r>
          </w:p>
        </w:tc>
        <w:tc>
          <w:tcPr>
            <w:tcW w:type="dxa" w:w="1289"/>
            <w:shd w:val="clear" w:color="auto" w:fill="EEE9FF"/>
          </w:tcPr>
          <w:p>
            <w:r>
              <w:rPr>
                <w:rFonts w:ascii="Times New Roman" w:hAnsi="Times New Roman"/>
                <w:sz w:val="18"/>
              </w:rPr>
              <w:t>0.20</w:t>
            </w:r>
          </w:p>
        </w:tc>
        <w:tc>
          <w:tcPr>
            <w:tcW w:type="dxa" w:w="1289"/>
            <w:shd w:val="clear" w:color="auto" w:fill="EEE9FF"/>
          </w:tcPr>
          <w:p>
            <w:r>
              <w:rPr>
                <w:rFonts w:ascii="Times New Roman" w:hAnsi="Times New Roman"/>
                <w:sz w:val="18"/>
              </w:rPr>
              <w:t>0.40</w:t>
            </w:r>
          </w:p>
        </w:tc>
        <w:tc>
          <w:tcPr>
            <w:tcW w:type="dxa" w:w="1289"/>
            <w:shd w:val="clear" w:color="auto" w:fill="EEE9FF"/>
          </w:tcPr>
          <w:p>
            <w:r>
              <w:rPr>
                <w:rFonts w:ascii="Times New Roman" w:hAnsi="Times New Roman"/>
                <w:sz w:val="18"/>
              </w:rPr>
              <w:t>0.30</w:t>
            </w:r>
          </w:p>
        </w:tc>
        <w:tc>
          <w:tcPr>
            <w:tcW w:type="dxa" w:w="1289"/>
            <w:shd w:val="clear" w:color="auto" w:fill="EEE9FF"/>
          </w:tcPr>
          <w:p>
            <w:r>
              <w:rPr>
                <w:rFonts w:ascii="Times New Roman" w:hAnsi="Times New Roman"/>
                <w:sz w:val="18"/>
              </w:rPr>
              <w:t>4.0</w:t>
            </w:r>
          </w:p>
        </w:tc>
        <w:tc>
          <w:tcPr>
            <w:tcW w:type="dxa" w:w="1289"/>
            <w:shd w:val="clear" w:color="auto" w:fill="EEE9FF"/>
          </w:tcPr>
          <w:p>
            <w:r>
              <w:rPr>
                <w:rFonts w:ascii="Times New Roman" w:hAnsi="Times New Roman"/>
                <w:sz w:val="18"/>
              </w:rPr>
              <w:t>Causal chain precision</w:t>
            </w:r>
          </w:p>
        </w:tc>
      </w:tr>
      <w:tr>
        <w:tc>
          <w:tcPr>
            <w:tcW w:type="dxa" w:w="1289"/>
            <w:shd w:val="clear" w:color="auto" w:fill="FFFFFF"/>
          </w:tcPr>
          <w:p>
            <w:r>
              <w:rPr>
                <w:rFonts w:ascii="Times New Roman" w:hAnsi="Times New Roman"/>
                <w:b/>
                <w:sz w:val="18"/>
              </w:rPr>
              <w:t>medical</w:t>
            </w:r>
          </w:p>
        </w:tc>
        <w:tc>
          <w:tcPr>
            <w:tcW w:type="dxa" w:w="1289"/>
            <w:shd w:val="clear" w:color="auto" w:fill="FFFFFF"/>
          </w:tcPr>
          <w:p>
            <w:r>
              <w:rPr>
                <w:rFonts w:ascii="Times New Roman" w:hAnsi="Times New Roman"/>
                <w:sz w:val="18"/>
              </w:rPr>
              <w:t>0.45</w:t>
            </w:r>
          </w:p>
        </w:tc>
        <w:tc>
          <w:tcPr>
            <w:tcW w:type="dxa" w:w="1289"/>
            <w:shd w:val="clear" w:color="auto" w:fill="FFFFFF"/>
          </w:tcPr>
          <w:p>
            <w:r>
              <w:rPr>
                <w:rFonts w:ascii="Times New Roman" w:hAnsi="Times New Roman"/>
                <w:sz w:val="18"/>
              </w:rPr>
              <w:t>0.15</w:t>
            </w:r>
          </w:p>
        </w:tc>
        <w:tc>
          <w:tcPr>
            <w:tcW w:type="dxa" w:w="1289"/>
            <w:shd w:val="clear" w:color="auto" w:fill="FFFFFF"/>
          </w:tcPr>
          <w:p>
            <w:r>
              <w:rPr>
                <w:rFonts w:ascii="Times New Roman" w:hAnsi="Times New Roman"/>
                <w:sz w:val="18"/>
              </w:rPr>
              <w:t>0.40</w:t>
            </w:r>
          </w:p>
        </w:tc>
        <w:tc>
          <w:tcPr>
            <w:tcW w:type="dxa" w:w="1289"/>
            <w:shd w:val="clear" w:color="auto" w:fill="FFFFFF"/>
          </w:tcPr>
          <w:p>
            <w:r>
              <w:rPr>
                <w:rFonts w:ascii="Times New Roman" w:hAnsi="Times New Roman"/>
                <w:sz w:val="18"/>
              </w:rPr>
              <w:t>0.35</w:t>
            </w:r>
          </w:p>
        </w:tc>
        <w:tc>
          <w:tcPr>
            <w:tcW w:type="dxa" w:w="1289"/>
            <w:shd w:val="clear" w:color="auto" w:fill="FFFFFF"/>
          </w:tcPr>
          <w:p>
            <w:r>
              <w:rPr>
                <w:rFonts w:ascii="Times New Roman" w:hAnsi="Times New Roman"/>
                <w:sz w:val="18"/>
              </w:rPr>
              <w:t>5.0</w:t>
            </w:r>
          </w:p>
        </w:tc>
        <w:tc>
          <w:tcPr>
            <w:tcW w:type="dxa" w:w="1289"/>
            <w:shd w:val="clear" w:color="auto" w:fill="FFFFFF"/>
          </w:tcPr>
          <w:p>
            <w:r>
              <w:rPr>
                <w:rFonts w:ascii="Times New Roman" w:hAnsi="Times New Roman"/>
                <w:sz w:val="18"/>
              </w:rPr>
              <w:t>Biological mechanism</w:t>
            </w:r>
          </w:p>
        </w:tc>
      </w:tr>
      <w:tr>
        <w:tc>
          <w:tcPr>
            <w:tcW w:type="dxa" w:w="1289"/>
            <w:shd w:val="clear" w:color="auto" w:fill="EEE9FF"/>
          </w:tcPr>
          <w:p>
            <w:r>
              <w:rPr>
                <w:rFonts w:ascii="Times New Roman" w:hAnsi="Times New Roman"/>
                <w:b/>
                <w:sz w:val="18"/>
              </w:rPr>
              <w:t>legal</w:t>
            </w:r>
          </w:p>
        </w:tc>
        <w:tc>
          <w:tcPr>
            <w:tcW w:type="dxa" w:w="1289"/>
            <w:shd w:val="clear" w:color="auto" w:fill="EEE9FF"/>
          </w:tcPr>
          <w:p>
            <w:r>
              <w:rPr>
                <w:rFonts w:ascii="Times New Roman" w:hAnsi="Times New Roman"/>
                <w:sz w:val="18"/>
              </w:rPr>
              <w:t>0.35</w:t>
            </w:r>
          </w:p>
        </w:tc>
        <w:tc>
          <w:tcPr>
            <w:tcW w:type="dxa" w:w="1289"/>
            <w:shd w:val="clear" w:color="auto" w:fill="EEE9FF"/>
          </w:tcPr>
          <w:p>
            <w:r>
              <w:rPr>
                <w:rFonts w:ascii="Times New Roman" w:hAnsi="Times New Roman"/>
                <w:sz w:val="18"/>
              </w:rPr>
              <w:t>0.30</w:t>
            </w:r>
          </w:p>
        </w:tc>
        <w:tc>
          <w:tcPr>
            <w:tcW w:type="dxa" w:w="1289"/>
            <w:shd w:val="clear" w:color="auto" w:fill="EEE9FF"/>
          </w:tcPr>
          <w:p>
            <w:r>
              <w:rPr>
                <w:rFonts w:ascii="Times New Roman" w:hAnsi="Times New Roman"/>
                <w:sz w:val="18"/>
              </w:rPr>
              <w:t>0.35</w:t>
            </w:r>
          </w:p>
        </w:tc>
        <w:tc>
          <w:tcPr>
            <w:tcW w:type="dxa" w:w="1289"/>
            <w:shd w:val="clear" w:color="auto" w:fill="EEE9FF"/>
          </w:tcPr>
          <w:p>
            <w:r>
              <w:rPr>
                <w:rFonts w:ascii="Times New Roman" w:hAnsi="Times New Roman"/>
                <w:sz w:val="18"/>
              </w:rPr>
              <w:t>0.40</w:t>
            </w:r>
          </w:p>
        </w:tc>
        <w:tc>
          <w:tcPr>
            <w:tcW w:type="dxa" w:w="1289"/>
            <w:shd w:val="clear" w:color="auto" w:fill="EEE9FF"/>
          </w:tcPr>
          <w:p>
            <w:r>
              <w:rPr>
                <w:rFonts w:ascii="Times New Roman" w:hAnsi="Times New Roman"/>
                <w:sz w:val="18"/>
              </w:rPr>
              <w:t>4.5</w:t>
            </w:r>
          </w:p>
        </w:tc>
        <w:tc>
          <w:tcPr>
            <w:tcW w:type="dxa" w:w="1289"/>
            <w:shd w:val="clear" w:color="auto" w:fill="EEE9FF"/>
          </w:tcPr>
          <w:p>
            <w:r>
              <w:rPr>
                <w:rFonts w:ascii="Times New Roman" w:hAnsi="Times New Roman"/>
                <w:sz w:val="18"/>
              </w:rPr>
              <w:t>Statutory + causal</w:t>
            </w:r>
          </w:p>
        </w:tc>
      </w:tr>
      <w:tr>
        <w:tc>
          <w:tcPr>
            <w:tcW w:type="dxa" w:w="1289"/>
            <w:shd w:val="clear" w:color="auto" w:fill="FFFFFF"/>
          </w:tcPr>
          <w:p>
            <w:r>
              <w:rPr>
                <w:rFonts w:ascii="Times New Roman" w:hAnsi="Times New Roman"/>
                <w:b/>
                <w:sz w:val="18"/>
              </w:rPr>
              <w:t>cybersecurity</w:t>
            </w:r>
          </w:p>
        </w:tc>
        <w:tc>
          <w:tcPr>
            <w:tcW w:type="dxa" w:w="1289"/>
            <w:shd w:val="clear" w:color="auto" w:fill="FFFFFF"/>
          </w:tcPr>
          <w:p>
            <w:r>
              <w:rPr>
                <w:rFonts w:ascii="Times New Roman" w:hAnsi="Times New Roman"/>
                <w:sz w:val="18"/>
              </w:rPr>
              <w:t>0.35</w:t>
            </w:r>
          </w:p>
        </w:tc>
        <w:tc>
          <w:tcPr>
            <w:tcW w:type="dxa" w:w="1289"/>
            <w:shd w:val="clear" w:color="auto" w:fill="FFFFFF"/>
          </w:tcPr>
          <w:p>
            <w:r>
              <w:rPr>
                <w:rFonts w:ascii="Times New Roman" w:hAnsi="Times New Roman"/>
                <w:sz w:val="18"/>
              </w:rPr>
              <w:t>0.30</w:t>
            </w:r>
          </w:p>
        </w:tc>
        <w:tc>
          <w:tcPr>
            <w:tcW w:type="dxa" w:w="1289"/>
            <w:shd w:val="clear" w:color="auto" w:fill="FFFFFF"/>
          </w:tcPr>
          <w:p>
            <w:r>
              <w:rPr>
                <w:rFonts w:ascii="Times New Roman" w:hAnsi="Times New Roman"/>
                <w:sz w:val="18"/>
              </w:rPr>
              <w:t>0.35</w:t>
            </w:r>
          </w:p>
        </w:tc>
        <w:tc>
          <w:tcPr>
            <w:tcW w:type="dxa" w:w="1289"/>
            <w:shd w:val="clear" w:color="auto" w:fill="FFFFFF"/>
          </w:tcPr>
          <w:p>
            <w:r>
              <w:rPr>
                <w:rFonts w:ascii="Times New Roman" w:hAnsi="Times New Roman"/>
                <w:sz w:val="18"/>
              </w:rPr>
              <w:t>0.45</w:t>
            </w:r>
          </w:p>
        </w:tc>
        <w:tc>
          <w:tcPr>
            <w:tcW w:type="dxa" w:w="1289"/>
            <w:shd w:val="clear" w:color="auto" w:fill="FFFFFF"/>
          </w:tcPr>
          <w:p>
            <w:r>
              <w:rPr>
                <w:rFonts w:ascii="Times New Roman" w:hAnsi="Times New Roman"/>
                <w:sz w:val="18"/>
              </w:rPr>
              <w:t>4.0</w:t>
            </w:r>
          </w:p>
        </w:tc>
        <w:tc>
          <w:tcPr>
            <w:tcW w:type="dxa" w:w="1289"/>
            <w:shd w:val="clear" w:color="auto" w:fill="FFFFFF"/>
          </w:tcPr>
          <w:p>
            <w:r>
              <w:rPr>
                <w:rFonts w:ascii="Times New Roman" w:hAnsi="Times New Roman"/>
                <w:sz w:val="18"/>
              </w:rPr>
              <w:t>Exploit chain order</w:t>
            </w:r>
          </w:p>
        </w:tc>
      </w:tr>
      <w:tr>
        <w:tc>
          <w:tcPr>
            <w:tcW w:type="dxa" w:w="1289"/>
            <w:shd w:val="clear" w:color="auto" w:fill="EEE9FF"/>
          </w:tcPr>
          <w:p>
            <w:r>
              <w:rPr>
                <w:rFonts w:ascii="Times New Roman" w:hAnsi="Times New Roman"/>
                <w:b/>
                <w:sz w:val="18"/>
              </w:rPr>
              <w:t>financial</w:t>
            </w:r>
          </w:p>
        </w:tc>
        <w:tc>
          <w:tcPr>
            <w:tcW w:type="dxa" w:w="1289"/>
            <w:shd w:val="clear" w:color="auto" w:fill="EEE9FF"/>
          </w:tcPr>
          <w:p>
            <w:r>
              <w:rPr>
                <w:rFonts w:ascii="Times New Roman" w:hAnsi="Times New Roman"/>
                <w:sz w:val="18"/>
              </w:rPr>
              <w:t>0.45</w:t>
            </w:r>
          </w:p>
        </w:tc>
        <w:tc>
          <w:tcPr>
            <w:tcW w:type="dxa" w:w="1289"/>
            <w:shd w:val="clear" w:color="auto" w:fill="EEE9FF"/>
          </w:tcPr>
          <w:p>
            <w:r>
              <w:rPr>
                <w:rFonts w:ascii="Times New Roman" w:hAnsi="Times New Roman"/>
                <w:sz w:val="18"/>
              </w:rPr>
              <w:t>0.25</w:t>
            </w:r>
          </w:p>
        </w:tc>
        <w:tc>
          <w:tcPr>
            <w:tcW w:type="dxa" w:w="1289"/>
            <w:shd w:val="clear" w:color="auto" w:fill="EEE9FF"/>
          </w:tcPr>
          <w:p>
            <w:r>
              <w:rPr>
                <w:rFonts w:ascii="Times New Roman" w:hAnsi="Times New Roman"/>
                <w:sz w:val="18"/>
              </w:rPr>
              <w:t>0.30</w:t>
            </w:r>
          </w:p>
        </w:tc>
        <w:tc>
          <w:tcPr>
            <w:tcW w:type="dxa" w:w="1289"/>
            <w:shd w:val="clear" w:color="auto" w:fill="EEE9FF"/>
          </w:tcPr>
          <w:p>
            <w:r>
              <w:rPr>
                <w:rFonts w:ascii="Times New Roman" w:hAnsi="Times New Roman"/>
                <w:sz w:val="18"/>
              </w:rPr>
              <w:t>0.50</w:t>
            </w:r>
          </w:p>
        </w:tc>
        <w:tc>
          <w:tcPr>
            <w:tcW w:type="dxa" w:w="1289"/>
            <w:shd w:val="clear" w:color="auto" w:fill="EEE9FF"/>
          </w:tcPr>
          <w:p>
            <w:r>
              <w:rPr>
                <w:rFonts w:ascii="Times New Roman" w:hAnsi="Times New Roman"/>
                <w:sz w:val="18"/>
              </w:rPr>
              <w:t>3.5</w:t>
            </w:r>
          </w:p>
        </w:tc>
        <w:tc>
          <w:tcPr>
            <w:tcW w:type="dxa" w:w="1289"/>
            <w:shd w:val="clear" w:color="auto" w:fill="EEE9FF"/>
          </w:tcPr>
          <w:p>
            <w:r>
              <w:rPr>
                <w:rFonts w:ascii="Times New Roman" w:hAnsi="Times New Roman"/>
                <w:sz w:val="18"/>
              </w:rPr>
              <w:t>Market context</w:t>
            </w:r>
          </w:p>
        </w:tc>
      </w:tr>
      <w:tr>
        <w:tc>
          <w:tcPr>
            <w:tcW w:type="dxa" w:w="1289"/>
            <w:shd w:val="clear" w:color="auto" w:fill="FFFFFF"/>
          </w:tcPr>
          <w:p>
            <w:r>
              <w:rPr>
                <w:rFonts w:ascii="Times New Roman" w:hAnsi="Times New Roman"/>
                <w:b/>
                <w:sz w:val="18"/>
              </w:rPr>
              <w:t>code</w:t>
            </w:r>
          </w:p>
        </w:tc>
        <w:tc>
          <w:tcPr>
            <w:tcW w:type="dxa" w:w="1289"/>
            <w:shd w:val="clear" w:color="auto" w:fill="FFFFFF"/>
          </w:tcPr>
          <w:p>
            <w:r>
              <w:rPr>
                <w:rFonts w:ascii="Times New Roman" w:hAnsi="Times New Roman"/>
                <w:sz w:val="18"/>
              </w:rPr>
              <w:t>0.30</w:t>
            </w:r>
          </w:p>
        </w:tc>
        <w:tc>
          <w:tcPr>
            <w:tcW w:type="dxa" w:w="1289"/>
            <w:shd w:val="clear" w:color="auto" w:fill="FFFFFF"/>
          </w:tcPr>
          <w:p>
            <w:r>
              <w:rPr>
                <w:rFonts w:ascii="Times New Roman" w:hAnsi="Times New Roman"/>
                <w:sz w:val="18"/>
              </w:rPr>
              <w:t>0.45</w:t>
            </w:r>
          </w:p>
        </w:tc>
        <w:tc>
          <w:tcPr>
            <w:tcW w:type="dxa" w:w="1289"/>
            <w:shd w:val="clear" w:color="auto" w:fill="FFFFFF"/>
          </w:tcPr>
          <w:p>
            <w:r>
              <w:rPr>
                <w:rFonts w:ascii="Times New Roman" w:hAnsi="Times New Roman"/>
                <w:sz w:val="18"/>
              </w:rPr>
              <w:t>0.25</w:t>
            </w:r>
          </w:p>
        </w:tc>
        <w:tc>
          <w:tcPr>
            <w:tcW w:type="dxa" w:w="1289"/>
            <w:shd w:val="clear" w:color="auto" w:fill="FFFFFF"/>
          </w:tcPr>
          <w:p>
            <w:r>
              <w:rPr>
                <w:rFonts w:ascii="Times New Roman" w:hAnsi="Times New Roman"/>
                <w:sz w:val="18"/>
              </w:rPr>
              <w:t>0.60</w:t>
            </w:r>
          </w:p>
        </w:tc>
        <w:tc>
          <w:tcPr>
            <w:tcW w:type="dxa" w:w="1289"/>
            <w:shd w:val="clear" w:color="auto" w:fill="FFFFFF"/>
          </w:tcPr>
          <w:p>
            <w:r>
              <w:rPr>
                <w:rFonts w:ascii="Times New Roman" w:hAnsi="Times New Roman"/>
                <w:sz w:val="18"/>
              </w:rPr>
              <w:t>3.5</w:t>
            </w:r>
          </w:p>
        </w:tc>
        <w:tc>
          <w:tcPr>
            <w:tcW w:type="dxa" w:w="1289"/>
            <w:shd w:val="clear" w:color="auto" w:fill="FFFFFF"/>
          </w:tcPr>
          <w:p>
            <w:r>
              <w:rPr>
                <w:rFonts w:ascii="Times New Roman" w:hAnsi="Times New Roman"/>
                <w:sz w:val="18"/>
              </w:rPr>
              <w:t>AST structure</w:t>
            </w:r>
          </w:p>
        </w:tc>
      </w:tr>
      <w:tr>
        <w:tc>
          <w:tcPr>
            <w:tcW w:type="dxa" w:w="1289"/>
            <w:shd w:val="clear" w:color="auto" w:fill="EEE9FF"/>
          </w:tcPr>
          <w:p>
            <w:r>
              <w:rPr>
                <w:rFonts w:ascii="Times New Roman" w:hAnsi="Times New Roman"/>
                <w:b/>
                <w:sz w:val="18"/>
              </w:rPr>
              <w:t>educational</w:t>
            </w:r>
          </w:p>
        </w:tc>
        <w:tc>
          <w:tcPr>
            <w:tcW w:type="dxa" w:w="1289"/>
            <w:shd w:val="clear" w:color="auto" w:fill="EEE9FF"/>
          </w:tcPr>
          <w:p>
            <w:r>
              <w:rPr>
                <w:rFonts w:ascii="Times New Roman" w:hAnsi="Times New Roman"/>
                <w:sz w:val="18"/>
              </w:rPr>
              <w:t>0.55</w:t>
            </w:r>
          </w:p>
        </w:tc>
        <w:tc>
          <w:tcPr>
            <w:tcW w:type="dxa" w:w="1289"/>
            <w:shd w:val="clear" w:color="auto" w:fill="EEE9FF"/>
          </w:tcPr>
          <w:p>
            <w:r>
              <w:rPr>
                <w:rFonts w:ascii="Times New Roman" w:hAnsi="Times New Roman"/>
                <w:sz w:val="18"/>
              </w:rPr>
              <w:t>0.20</w:t>
            </w:r>
          </w:p>
        </w:tc>
        <w:tc>
          <w:tcPr>
            <w:tcW w:type="dxa" w:w="1289"/>
            <w:shd w:val="clear" w:color="auto" w:fill="EEE9FF"/>
          </w:tcPr>
          <w:p>
            <w:r>
              <w:rPr>
                <w:rFonts w:ascii="Times New Roman" w:hAnsi="Times New Roman"/>
                <w:sz w:val="18"/>
              </w:rPr>
              <w:t>0.25</w:t>
            </w:r>
          </w:p>
        </w:tc>
        <w:tc>
          <w:tcPr>
            <w:tcW w:type="dxa" w:w="1289"/>
            <w:shd w:val="clear" w:color="auto" w:fill="EEE9FF"/>
          </w:tcPr>
          <w:p>
            <w:r>
              <w:rPr>
                <w:rFonts w:ascii="Times New Roman" w:hAnsi="Times New Roman"/>
                <w:sz w:val="18"/>
              </w:rPr>
              <w:t>0.65</w:t>
            </w:r>
          </w:p>
        </w:tc>
        <w:tc>
          <w:tcPr>
            <w:tcW w:type="dxa" w:w="1289"/>
            <w:shd w:val="clear" w:color="auto" w:fill="EEE9FF"/>
          </w:tcPr>
          <w:p>
            <w:r>
              <w:rPr>
                <w:rFonts w:ascii="Times New Roman" w:hAnsi="Times New Roman"/>
                <w:sz w:val="18"/>
              </w:rPr>
              <w:t>3.0</w:t>
            </w:r>
          </w:p>
        </w:tc>
        <w:tc>
          <w:tcPr>
            <w:tcW w:type="dxa" w:w="1289"/>
            <w:shd w:val="clear" w:color="auto" w:fill="EEE9FF"/>
          </w:tcPr>
          <w:p>
            <w:r>
              <w:rPr>
                <w:rFonts w:ascii="Times New Roman" w:hAnsi="Times New Roman"/>
                <w:sz w:val="18"/>
              </w:rPr>
              <w:t>Conceptual coverage</w:t>
            </w:r>
          </w:p>
        </w:tc>
      </w:tr>
      <w:tr>
        <w:tc>
          <w:tcPr>
            <w:tcW w:type="dxa" w:w="1289"/>
            <w:shd w:val="clear" w:color="auto" w:fill="FFFFFF"/>
          </w:tcPr>
          <w:p>
            <w:r>
              <w:rPr>
                <w:rFonts w:ascii="Times New Roman" w:hAnsi="Times New Roman"/>
                <w:b/>
                <w:sz w:val="18"/>
              </w:rPr>
              <w:t>general</w:t>
            </w:r>
          </w:p>
        </w:tc>
        <w:tc>
          <w:tcPr>
            <w:tcW w:type="dxa" w:w="1289"/>
            <w:shd w:val="clear" w:color="auto" w:fill="FFFFFF"/>
          </w:tcPr>
          <w:p>
            <w:r>
              <w:rPr>
                <w:rFonts w:ascii="Times New Roman" w:hAnsi="Times New Roman"/>
                <w:sz w:val="18"/>
              </w:rPr>
              <w:t>0.50</w:t>
            </w:r>
          </w:p>
        </w:tc>
        <w:tc>
          <w:tcPr>
            <w:tcW w:type="dxa" w:w="1289"/>
            <w:shd w:val="clear" w:color="auto" w:fill="FFFFFF"/>
          </w:tcPr>
          <w:p>
            <w:r>
              <w:rPr>
                <w:rFonts w:ascii="Times New Roman" w:hAnsi="Times New Roman"/>
                <w:sz w:val="18"/>
              </w:rPr>
              <w:t>0.25</w:t>
            </w:r>
          </w:p>
        </w:tc>
        <w:tc>
          <w:tcPr>
            <w:tcW w:type="dxa" w:w="1289"/>
            <w:shd w:val="clear" w:color="auto" w:fill="FFFFFF"/>
          </w:tcPr>
          <w:p>
            <w:r>
              <w:rPr>
                <w:rFonts w:ascii="Times New Roman" w:hAnsi="Times New Roman"/>
                <w:sz w:val="18"/>
              </w:rPr>
              <w:t>0.25</w:t>
            </w:r>
          </w:p>
        </w:tc>
        <w:tc>
          <w:tcPr>
            <w:tcW w:type="dxa" w:w="1289"/>
            <w:shd w:val="clear" w:color="auto" w:fill="FFFFFF"/>
          </w:tcPr>
          <w:p>
            <w:r>
              <w:rPr>
                <w:rFonts w:ascii="Times New Roman" w:hAnsi="Times New Roman"/>
                <w:sz w:val="18"/>
              </w:rPr>
              <w:t>0.80</w:t>
            </w:r>
          </w:p>
        </w:tc>
        <w:tc>
          <w:tcPr>
            <w:tcW w:type="dxa" w:w="1289"/>
            <w:shd w:val="clear" w:color="auto" w:fill="FFFFFF"/>
          </w:tcPr>
          <w:p>
            <w:r>
              <w:rPr>
                <w:rFonts w:ascii="Times New Roman" w:hAnsi="Times New Roman"/>
                <w:sz w:val="18"/>
              </w:rPr>
              <w:t>3.5</w:t>
            </w:r>
          </w:p>
        </w:tc>
        <w:tc>
          <w:tcPr>
            <w:tcW w:type="dxa" w:w="1289"/>
            <w:shd w:val="clear" w:color="auto" w:fill="FFFFFF"/>
          </w:tcPr>
          <w:p>
            <w:r>
              <w:rPr>
                <w:rFonts w:ascii="Times New Roman" w:hAnsi="Times New Roman"/>
                <w:sz w:val="18"/>
              </w:rPr>
              <w:t>Balanced</w:t>
            </w:r>
          </w:p>
        </w:tc>
      </w:tr>
      <w:tr>
        <w:tc>
          <w:tcPr>
            <w:tcW w:type="dxa" w:w="1289"/>
            <w:shd w:val="clear" w:color="auto" w:fill="EEE9FF"/>
          </w:tcPr>
          <w:p>
            <w:r>
              <w:rPr>
                <w:rFonts w:ascii="Times New Roman" w:hAnsi="Times New Roman"/>
                <w:b/>
                <w:sz w:val="18"/>
              </w:rPr>
              <w:t>historical</w:t>
            </w:r>
          </w:p>
        </w:tc>
        <w:tc>
          <w:tcPr>
            <w:tcW w:type="dxa" w:w="1289"/>
            <w:shd w:val="clear" w:color="auto" w:fill="EEE9FF"/>
          </w:tcPr>
          <w:p>
            <w:r>
              <w:rPr>
                <w:rFonts w:ascii="Times New Roman" w:hAnsi="Times New Roman"/>
                <w:sz w:val="18"/>
              </w:rPr>
              <w:t>0.45</w:t>
            </w:r>
          </w:p>
        </w:tc>
        <w:tc>
          <w:tcPr>
            <w:tcW w:type="dxa" w:w="1289"/>
            <w:shd w:val="clear" w:color="auto" w:fill="EEE9FF"/>
          </w:tcPr>
          <w:p>
            <w:r>
              <w:rPr>
                <w:rFonts w:ascii="Times New Roman" w:hAnsi="Times New Roman"/>
                <w:sz w:val="18"/>
              </w:rPr>
              <w:t>0.20</w:t>
            </w:r>
          </w:p>
        </w:tc>
        <w:tc>
          <w:tcPr>
            <w:tcW w:type="dxa" w:w="1289"/>
            <w:shd w:val="clear" w:color="auto" w:fill="EEE9FF"/>
          </w:tcPr>
          <w:p>
            <w:r>
              <w:rPr>
                <w:rFonts w:ascii="Times New Roman" w:hAnsi="Times New Roman"/>
                <w:sz w:val="18"/>
              </w:rPr>
              <w:t>0.35</w:t>
            </w:r>
          </w:p>
        </w:tc>
        <w:tc>
          <w:tcPr>
            <w:tcW w:type="dxa" w:w="1289"/>
            <w:shd w:val="clear" w:color="auto" w:fill="EEE9FF"/>
          </w:tcPr>
          <w:p>
            <w:r>
              <w:rPr>
                <w:rFonts w:ascii="Times New Roman" w:hAnsi="Times New Roman"/>
                <w:sz w:val="18"/>
              </w:rPr>
              <w:t>0.90</w:t>
            </w:r>
          </w:p>
        </w:tc>
        <w:tc>
          <w:tcPr>
            <w:tcW w:type="dxa" w:w="1289"/>
            <w:shd w:val="clear" w:color="auto" w:fill="EEE9FF"/>
          </w:tcPr>
          <w:p>
            <w:r>
              <w:rPr>
                <w:rFonts w:ascii="Times New Roman" w:hAnsi="Times New Roman"/>
                <w:sz w:val="18"/>
              </w:rPr>
              <w:t>3.0</w:t>
            </w:r>
          </w:p>
        </w:tc>
        <w:tc>
          <w:tcPr>
            <w:tcW w:type="dxa" w:w="1289"/>
            <w:shd w:val="clear" w:color="auto" w:fill="EEE9FF"/>
          </w:tcPr>
          <w:p>
            <w:r>
              <w:rPr>
                <w:rFonts w:ascii="Times New Roman" w:hAnsi="Times New Roman"/>
                <w:sz w:val="18"/>
              </w:rPr>
              <w:t>Event causal chains</w:t>
            </w:r>
          </w:p>
        </w:tc>
      </w:tr>
      <w:tr>
        <w:tc>
          <w:tcPr>
            <w:tcW w:type="dxa" w:w="1289"/>
            <w:shd w:val="clear" w:color="auto" w:fill="FFFFFF"/>
          </w:tcPr>
          <w:p>
            <w:r>
              <w:rPr>
                <w:rFonts w:ascii="Times New Roman" w:hAnsi="Times New Roman"/>
                <w:b/>
                <w:sz w:val="18"/>
              </w:rPr>
              <w:t>customer</w:t>
            </w:r>
          </w:p>
        </w:tc>
        <w:tc>
          <w:tcPr>
            <w:tcW w:type="dxa" w:w="1289"/>
            <w:shd w:val="clear" w:color="auto" w:fill="FFFFFF"/>
          </w:tcPr>
          <w:p>
            <w:r>
              <w:rPr>
                <w:rFonts w:ascii="Times New Roman" w:hAnsi="Times New Roman"/>
                <w:sz w:val="18"/>
              </w:rPr>
              <w:t>0.60</w:t>
            </w:r>
          </w:p>
        </w:tc>
        <w:tc>
          <w:tcPr>
            <w:tcW w:type="dxa" w:w="1289"/>
            <w:shd w:val="clear" w:color="auto" w:fill="FFFFFF"/>
          </w:tcPr>
          <w:p>
            <w:r>
              <w:rPr>
                <w:rFonts w:ascii="Times New Roman" w:hAnsi="Times New Roman"/>
                <w:sz w:val="18"/>
              </w:rPr>
              <w:t>0.15</w:t>
            </w:r>
          </w:p>
        </w:tc>
        <w:tc>
          <w:tcPr>
            <w:tcW w:type="dxa" w:w="1289"/>
            <w:shd w:val="clear" w:color="auto" w:fill="FFFFFF"/>
          </w:tcPr>
          <w:p>
            <w:r>
              <w:rPr>
                <w:rFonts w:ascii="Times New Roman" w:hAnsi="Times New Roman"/>
                <w:sz w:val="18"/>
              </w:rPr>
              <w:t>0.25</w:t>
            </w:r>
          </w:p>
        </w:tc>
        <w:tc>
          <w:tcPr>
            <w:tcW w:type="dxa" w:w="1289"/>
            <w:shd w:val="clear" w:color="auto" w:fill="FFFFFF"/>
          </w:tcPr>
          <w:p>
            <w:r>
              <w:rPr>
                <w:rFonts w:ascii="Times New Roman" w:hAnsi="Times New Roman"/>
                <w:sz w:val="18"/>
              </w:rPr>
              <w:t>0.95</w:t>
            </w:r>
          </w:p>
        </w:tc>
        <w:tc>
          <w:tcPr>
            <w:tcW w:type="dxa" w:w="1289"/>
            <w:shd w:val="clear" w:color="auto" w:fill="FFFFFF"/>
          </w:tcPr>
          <w:p>
            <w:r>
              <w:rPr>
                <w:rFonts w:ascii="Times New Roman" w:hAnsi="Times New Roman"/>
                <w:sz w:val="18"/>
              </w:rPr>
              <w:t>3.0</w:t>
            </w:r>
          </w:p>
        </w:tc>
        <w:tc>
          <w:tcPr>
            <w:tcW w:type="dxa" w:w="1289"/>
            <w:shd w:val="clear" w:color="auto" w:fill="FFFFFF"/>
          </w:tcPr>
          <w:p>
            <w:r>
              <w:rPr>
                <w:rFonts w:ascii="Times New Roman" w:hAnsi="Times New Roman"/>
                <w:sz w:val="18"/>
              </w:rPr>
              <w:t>User intent</w:t>
            </w:r>
          </w:p>
        </w:tc>
      </w:tr>
      <w:tr>
        <w:tc>
          <w:tcPr>
            <w:tcW w:type="dxa" w:w="1289"/>
            <w:shd w:val="clear" w:color="auto" w:fill="EEE9FF"/>
          </w:tcPr>
          <w:p>
            <w:r>
              <w:rPr>
                <w:rFonts w:ascii="Times New Roman" w:hAnsi="Times New Roman"/>
                <w:b/>
                <w:sz w:val="18"/>
              </w:rPr>
              <w:t>creative</w:t>
            </w:r>
          </w:p>
        </w:tc>
        <w:tc>
          <w:tcPr>
            <w:tcW w:type="dxa" w:w="1289"/>
            <w:shd w:val="clear" w:color="auto" w:fill="EEE9FF"/>
          </w:tcPr>
          <w:p>
            <w:r>
              <w:rPr>
                <w:rFonts w:ascii="Times New Roman" w:hAnsi="Times New Roman"/>
                <w:sz w:val="18"/>
              </w:rPr>
              <w:t>0.65</w:t>
            </w:r>
          </w:p>
        </w:tc>
        <w:tc>
          <w:tcPr>
            <w:tcW w:type="dxa" w:w="1289"/>
            <w:shd w:val="clear" w:color="auto" w:fill="EEE9FF"/>
          </w:tcPr>
          <w:p>
            <w:r>
              <w:rPr>
                <w:rFonts w:ascii="Times New Roman" w:hAnsi="Times New Roman"/>
                <w:sz w:val="18"/>
              </w:rPr>
              <w:t>0.20</w:t>
            </w:r>
          </w:p>
        </w:tc>
        <w:tc>
          <w:tcPr>
            <w:tcW w:type="dxa" w:w="1289"/>
            <w:shd w:val="clear" w:color="auto" w:fill="EEE9FF"/>
          </w:tcPr>
          <w:p>
            <w:r>
              <w:rPr>
                <w:rFonts w:ascii="Times New Roman" w:hAnsi="Times New Roman"/>
                <w:sz w:val="18"/>
              </w:rPr>
              <w:t>0.15</w:t>
            </w:r>
          </w:p>
        </w:tc>
        <w:tc>
          <w:tcPr>
            <w:tcW w:type="dxa" w:w="1289"/>
            <w:shd w:val="clear" w:color="auto" w:fill="EEE9FF"/>
          </w:tcPr>
          <w:p>
            <w:r>
              <w:rPr>
                <w:rFonts w:ascii="Times New Roman" w:hAnsi="Times New Roman"/>
                <w:sz w:val="18"/>
              </w:rPr>
              <w:t>1.20</w:t>
            </w:r>
          </w:p>
        </w:tc>
        <w:tc>
          <w:tcPr>
            <w:tcW w:type="dxa" w:w="1289"/>
            <w:shd w:val="clear" w:color="auto" w:fill="EEE9FF"/>
          </w:tcPr>
          <w:p>
            <w:r>
              <w:rPr>
                <w:rFonts w:ascii="Times New Roman" w:hAnsi="Times New Roman"/>
                <w:sz w:val="18"/>
              </w:rPr>
              <w:t>2.5</w:t>
            </w:r>
          </w:p>
        </w:tc>
        <w:tc>
          <w:tcPr>
            <w:tcW w:type="dxa" w:w="1289"/>
            <w:shd w:val="clear" w:color="auto" w:fill="EEE9FF"/>
          </w:tcPr>
          <w:p>
            <w:r>
              <w:rPr>
                <w:rFonts w:ascii="Times New Roman" w:hAnsi="Times New Roman"/>
                <w:sz w:val="18"/>
              </w:rPr>
              <w:t>Thematic assoc.</w:t>
            </w:r>
          </w:p>
        </w:tc>
      </w:tr>
    </w:tbl>
    <w:p>
      <w:pPr>
        <w:spacing w:before="80" w:after="240"/>
      </w:pPr>
    </w:p>
    <w:p>
      <w:pPr>
        <w:spacing w:before="280" w:after="160"/>
        <w:jc w:val="left"/>
      </w:pPr>
      <w:r>
        <w:rPr>
          <w:rFonts w:ascii="Times New Roman" w:hAnsi="Times New Roman"/>
          <w:b/>
          <w:i w:val="0"/>
          <w:color w:val="1A1230"/>
          <w:sz w:val="24"/>
        </w:rPr>
        <w:t>5.2  Semantic Drift Corrector (SDC)</w:t>
      </w:r>
    </w:p>
    <w:p>
      <w:pPr>
        <w:spacing w:before="0" w:after="80"/>
        <w:ind w:firstLine="360"/>
        <w:jc w:val="both"/>
      </w:pPr>
      <w:r>
        <w:rPr>
          <w:rFonts w:ascii="Times New Roman" w:hAnsi="Times New Roman"/>
          <w:b w:val="0"/>
          <w:i w:val="0"/>
          <w:sz w:val="21"/>
        </w:rPr>
        <w:t>The SDC computes a drift vector between the causal embeddings of the query and each candidate chunk. The drift vector is signed and directional: its direction encodes the type of causal mismatch (temporal drift, entity substitution, relation flip), and its magnitude encodes the degree of drift.</w:t>
      </w:r>
    </w:p>
    <w:p>
      <w:pPr>
        <w:spacing w:before="80" w:after="200"/>
        <w:jc w:val="center"/>
      </w:pPr>
      <w:r>
        <w:rPr>
          <w:rFonts w:ascii="Cambria Math" w:hAnsi="Cambria Math"/>
          <w:b w:val="0"/>
          <w:i/>
          <w:color w:val="1A1230"/>
          <w:sz w:val="22"/>
        </w:rPr>
        <w:t>D(q, cᵢ) = v_cau(q) − v_cau(cᵢ)  ∈  ℝ³²</w:t>
      </w:r>
    </w:p>
    <w:p>
      <w:pPr>
        <w:spacing w:before="80" w:after="200"/>
        <w:jc w:val="center"/>
      </w:pPr>
      <w:r>
        <w:rPr>
          <w:rFonts w:ascii="Cambria Math" w:hAnsi="Cambria Math"/>
          <w:b w:val="0"/>
          <w:i/>
          <w:color w:val="1A1230"/>
          <w:sz w:val="22"/>
        </w:rPr>
        <w:t>SDS(q, cᵢ) = 1 − tanh( ‖D(q, cᵢ)‖₂ / τ )  ∈  [0, 1]</w:t>
      </w:r>
    </w:p>
    <w:p>
      <w:pPr>
        <w:spacing w:before="80" w:after="200"/>
        <w:jc w:val="center"/>
      </w:pPr>
      <w:r>
        <w:rPr>
          <w:rFonts w:ascii="Cambria Math" w:hAnsi="Cambria Math"/>
          <w:b w:val="0"/>
          <w:i/>
          <w:color w:val="1A1230"/>
          <w:sz w:val="22"/>
        </w:rPr>
        <w:t>cᵢ is ACCEPTED  ⟺  SDS(q, cᵢ) ≥ δ_SDC  (default: 0.72)</w:t>
      </w:r>
    </w:p>
    <w:p>
      <w:pPr>
        <w:spacing w:before="0" w:after="160"/>
        <w:ind w:firstLine="360"/>
        <w:jc w:val="both"/>
      </w:pPr>
      <w:r>
        <w:rPr>
          <w:rFonts w:ascii="Times New Roman" w:hAnsi="Times New Roman"/>
          <w:b w:val="0"/>
          <w:i w:val="0"/>
          <w:sz w:val="21"/>
        </w:rPr>
        <w:t>The hyperbolic tangent provides a steep slope near zero (small drifts incur real penalty) and saturates at ±1 (large drifts are hard-rejected). The temperature parameter τ normalizes drift magnitude to domain expectations — it is the "drift thermometer" setting the sensitivity of the causal gate for each domain (Table 1). The batch SDC evaluation is fully vectorized, computing SDS for N candidates as a single matrix operation in O(N·d_cau) time.</w:t>
      </w:r>
    </w:p>
    <w:p>
      <w:pPr>
        <w:spacing w:before="280" w:after="160"/>
        <w:jc w:val="left"/>
      </w:pPr>
      <w:r>
        <w:rPr>
          <w:rFonts w:ascii="Times New Roman" w:hAnsi="Times New Roman"/>
          <w:b/>
          <w:i w:val="0"/>
          <w:color w:val="1A1230"/>
          <w:sz w:val="24"/>
        </w:rPr>
        <w:t>5.3  Context Poison Guard (CPG)</w:t>
      </w:r>
    </w:p>
    <w:p>
      <w:pPr>
        <w:spacing w:before="0" w:after="80"/>
        <w:ind w:firstLine="360"/>
        <w:jc w:val="both"/>
      </w:pPr>
      <w:r>
        <w:rPr>
          <w:rFonts w:ascii="Times New Roman" w:hAnsi="Times New Roman"/>
          <w:b w:val="0"/>
          <w:i w:val="0"/>
          <w:sz w:val="21"/>
        </w:rPr>
        <w:t>The CPG operates on the window W = {c₁,...,cₖ} remaining after SDC filtering. It computes a softmax-weighted Poison Index P and an Effective Signal Ratio ESR:</w:t>
      </w:r>
    </w:p>
    <w:p>
      <w:pPr>
        <w:spacing w:before="80" w:after="200"/>
        <w:jc w:val="center"/>
      </w:pPr>
      <w:r>
        <w:rPr>
          <w:rFonts w:ascii="Cambria Math" w:hAnsi="Cambria Math"/>
          <w:b w:val="0"/>
          <w:i/>
          <w:color w:val="1A1230"/>
          <w:sz w:val="22"/>
        </w:rPr>
        <w:t>wᵢ = softmax(TVE_score(q, cᵢ))  ≈  LLM attentional prior</w:t>
      </w:r>
    </w:p>
    <w:p>
      <w:pPr>
        <w:spacing w:before="80" w:after="200"/>
        <w:jc w:val="center"/>
      </w:pPr>
      <w:r>
        <w:rPr>
          <w:rFonts w:ascii="Cambria Math" w:hAnsi="Cambria Math"/>
          <w:b w:val="0"/>
          <w:i/>
          <w:color w:val="1A1230"/>
          <w:sz w:val="22"/>
        </w:rPr>
        <w:t>P(W, q) = (1/k) Σᵢ [1 − SDS(q, cᵢ)] · wᵢ</w:t>
      </w:r>
    </w:p>
    <w:p>
      <w:pPr>
        <w:spacing w:before="80" w:after="200"/>
        <w:jc w:val="center"/>
      </w:pPr>
      <w:r>
        <w:rPr>
          <w:rFonts w:ascii="Cambria Math" w:hAnsi="Cambria Math"/>
          <w:b w:val="0"/>
          <w:i/>
          <w:color w:val="1A1230"/>
          <w:sz w:val="22"/>
        </w:rPr>
        <w:t>ESR(W, q) = Σᵢ SDS(q, cᵢ) · wᵢ  /  (P(W, q) + ε)</w:t>
      </w:r>
    </w:p>
    <w:p>
      <w:pPr>
        <w:spacing w:before="80" w:after="200"/>
        <w:jc w:val="center"/>
      </w:pPr>
      <w:r>
        <w:rPr>
          <w:rFonts w:ascii="Cambria Math" w:hAnsi="Cambria Math"/>
          <w:b w:val="0"/>
          <w:i/>
          <w:color w:val="1A1230"/>
          <w:sz w:val="22"/>
        </w:rPr>
        <w:t>CLEAN condition: ESR(W, q) ≥ θ_CPG    (default: 3.5)</w:t>
      </w:r>
    </w:p>
    <w:p>
      <w:pPr>
        <w:spacing w:before="80" w:after="200"/>
        <w:jc w:val="center"/>
      </w:pPr>
      <w:r>
        <w:rPr>
          <w:rFonts w:ascii="Cambria Math" w:hAnsi="Cambria Math"/>
          <w:b w:val="0"/>
          <w:i/>
          <w:color w:val="1A1230"/>
          <w:sz w:val="22"/>
        </w:rPr>
        <w:t>Purge: while ESR(W) &lt; θ_CPG  →  W ← W \ { argmin_i SDS(q, cᵢ) }</w:t>
      </w:r>
    </w:p>
    <w:p>
      <w:pPr>
        <w:spacing w:before="0" w:after="120"/>
        <w:ind w:firstLine="360"/>
        <w:jc w:val="both"/>
      </w:pPr>
      <w:r>
        <w:rPr>
          <w:rFonts w:ascii="Times New Roman" w:hAnsi="Times New Roman"/>
          <w:b w:val="0"/>
          <w:i w:val="0"/>
          <w:sz w:val="21"/>
        </w:rPr>
        <w:t>The softmax weights wᵢ approximate the LLM's attentional bias: high-scored chunks are weighted more heavily in the Poison Index, reflecting that a high-ranked irrelevant chunk is more damaging than a low-ranked one. This is a formal model of the attentional dilution mechanism that produces CWP.</w:t>
      </w:r>
    </w:p>
    <w:p>
      <w:pPr>
        <w:spacing w:before="160" w:after="80"/>
        <w:jc w:val="left"/>
      </w:pPr>
      <w:r>
        <w:rPr>
          <w:rFonts w:ascii="Times New Roman" w:hAnsi="Times New Roman"/>
          <w:b/>
          <w:i w:val="0"/>
          <w:color w:val="1A1230"/>
          <w:sz w:val="22"/>
        </w:rPr>
        <w:t>Theorem 5.1 (Greedy Optimality of CPG Purging).</w:t>
      </w:r>
    </w:p>
    <w:p>
      <w:pPr>
        <w:spacing w:before="0" w:after="80"/>
        <w:jc w:val="both"/>
      </w:pPr>
      <w:r>
        <w:rPr>
          <w:rFonts w:ascii="Times New Roman" w:hAnsi="Times New Roman"/>
          <w:b w:val="0"/>
          <w:i/>
          <w:sz w:val="21"/>
        </w:rPr>
        <w:t>The greedy removal strategy — removing the chunk with minimum SDS at each step — is optimal for maximizing ESR improvement per removal step.</w:t>
      </w:r>
    </w:p>
    <w:p>
      <w:pPr>
        <w:spacing w:before="0" w:after="160"/>
        <w:jc w:val="both"/>
      </w:pPr>
      <w:r>
        <w:rPr>
          <w:rFonts w:ascii="Times New Roman" w:hAnsi="Times New Roman"/>
          <w:b w:val="0"/>
          <w:i w:val="0"/>
          <w:sz w:val="21"/>
        </w:rPr>
        <w:t>Proof. Define sᵢ = SDS(q,cᵢ)·wᵢ (signal contribution) and pᵢ = (1−SDS(q,cᵢ))·wᵢ (poison contribution). Both P and Signal = Σsᵢ are linear in the chunk contributions. The ESR gain from removing chunk j is ΔESR(j) = (Signal − sⱼ)/(P − pⱼ/k + ε) − ESR. This is maximized when sⱼ is minimized and pⱼ is maximized simultaneously. Since sⱼ = SDS_j·wⱼ and pⱼ = (1−SDS_j)·wⱼ, and assuming approximately uniform wⱼ near the decision boundary, minimizing SDS_j maximally satisfies both conditions simultaneously. Therefore argmin_j SDS_j = argmax_j ΔESR(j). □</w:t>
      </w:r>
    </w:p>
    <w:p>
      <w:pPr>
        <w:spacing w:before="280" w:after="160"/>
        <w:jc w:val="left"/>
      </w:pPr>
      <w:r>
        <w:rPr>
          <w:rFonts w:ascii="Times New Roman" w:hAnsi="Times New Roman"/>
          <w:b/>
          <w:i w:val="0"/>
          <w:color w:val="1A1230"/>
          <w:sz w:val="24"/>
        </w:rPr>
        <w:t>5.4  Rank Fusion Gate (RFG) — Φ-Score</w:t>
      </w:r>
    </w:p>
    <w:p>
      <w:pPr>
        <w:spacing w:before="0" w:after="80"/>
        <w:ind w:firstLine="360"/>
        <w:jc w:val="both"/>
      </w:pPr>
      <w:r>
        <w:rPr>
          <w:rFonts w:ascii="Times New Roman" w:hAnsi="Times New Roman"/>
          <w:b w:val="0"/>
          <w:i w:val="0"/>
          <w:sz w:val="21"/>
        </w:rPr>
        <w:t>The RFG computes a multiplicative fusion of the three quality signals. The ESR contribution of each chunk measures its fractional share of the total signal in the purged window:</w:t>
      </w:r>
    </w:p>
    <w:p>
      <w:pPr>
        <w:spacing w:before="80" w:after="200"/>
        <w:jc w:val="center"/>
      </w:pPr>
      <w:r>
        <w:rPr>
          <w:rFonts w:ascii="Cambria Math" w:hAnsi="Cambria Math"/>
          <w:b w:val="0"/>
          <w:i/>
          <w:color w:val="1A1230"/>
          <w:sz w:val="22"/>
        </w:rPr>
        <w:t>ESR_contrib(cᵢ, W) = SDS(cᵢ)·wᵢ / Σⱼ SDS(cⱼ)·wⱼ</w:t>
      </w:r>
    </w:p>
    <w:p>
      <w:pPr>
        <w:spacing w:before="80" w:after="200"/>
        <w:jc w:val="center"/>
      </w:pPr>
      <w:r>
        <w:rPr>
          <w:rFonts w:ascii="Cambria Math" w:hAnsi="Cambria Math"/>
          <w:b w:val="0"/>
          <w:i/>
          <w:color w:val="1A1230"/>
          <w:sz w:val="22"/>
        </w:rPr>
        <w:t>Φ(cᵢ, q) = TVE_score(q, cᵢ)^α × SDS(q, cᵢ)^β × ESR_contrib(cᵢ, W)^γ</w:t>
      </w:r>
    </w:p>
    <w:p>
      <w:pPr>
        <w:spacing w:before="80" w:after="200"/>
        <w:jc w:val="center"/>
      </w:pPr>
      <w:r>
        <w:rPr>
          <w:rFonts w:ascii="Cambria Math" w:hAnsi="Cambria Math"/>
          <w:b w:val="0"/>
          <w:i/>
          <w:color w:val="1A1230"/>
          <w:sz w:val="22"/>
        </w:rPr>
        <w:t>Φ̃(cᵢ) = Φ(cᵢ) / Σⱼ Φ(cⱼ)    [normalized — sums to 1]</w:t>
      </w:r>
    </w:p>
    <w:p>
      <w:pPr>
        <w:spacing w:before="80" w:after="200"/>
        <w:jc w:val="center"/>
      </w:pPr>
      <w:r>
        <w:rPr>
          <w:rFonts w:ascii="Cambria Math" w:hAnsi="Cambria Math"/>
          <w:b w:val="0"/>
          <w:i/>
          <w:color w:val="1A1230"/>
          <w:sz w:val="22"/>
        </w:rPr>
        <w:t>W* = top-m by Φ̃,   subject to  ESR(W*, q) ≥ θ_CPG</w:t>
      </w:r>
    </w:p>
    <w:p>
      <w:pPr>
        <w:spacing w:before="0" w:after="160"/>
        <w:ind w:firstLine="360"/>
        <w:jc w:val="both"/>
      </w:pPr>
      <w:r>
        <w:rPr>
          <w:rFonts w:ascii="Times New Roman" w:hAnsi="Times New Roman"/>
          <w:b w:val="0"/>
          <w:i w:val="0"/>
          <w:sz w:val="21"/>
        </w:rPr>
        <w:t>The multiplicative structure enforces a "no weak link" policy. Additive fusion allows a chunk with TVE=0.95, SDS=0.05 to score ≈ 0.60 (still highly ranked). Multiplicatively: 0.95^0.4 × 0.05^0.35 ≈ 0.19 (correctly rejected). No single high-scoring dimension can rescue a chunk with a critical weakness in another.</w:t>
      </w:r>
    </w:p>
    <w:p>
      <w:pPr>
        <w:spacing w:before="280" w:after="160"/>
        <w:jc w:val="left"/>
      </w:pPr>
      <w:r>
        <w:rPr>
          <w:rFonts w:ascii="Times New Roman" w:hAnsi="Times New Roman"/>
          <w:b/>
          <w:i w:val="0"/>
          <w:color w:val="1A1230"/>
          <w:sz w:val="24"/>
        </w:rPr>
        <w:t>5.5  Causal Context Builder (CCB)</w:t>
      </w:r>
    </w:p>
    <w:p>
      <w:pPr>
        <w:spacing w:before="0" w:after="80"/>
        <w:ind w:firstLine="360"/>
        <w:jc w:val="both"/>
      </w:pPr>
      <w:r>
        <w:rPr>
          <w:rFonts w:ascii="Times New Roman" w:hAnsi="Times New Roman"/>
          <w:b w:val="0"/>
          <w:i w:val="0"/>
          <w:sz w:val="21"/>
        </w:rPr>
        <w:t>The CCB assigns each chunk cᵢ ∈ W* a causal depth via shortest-path traversal of the global causal dependency graph G_cau, then orders chunks by a position formula that balances Φ̃ rank with causal depth:</w:t>
      </w:r>
    </w:p>
    <w:p>
      <w:pPr>
        <w:spacing w:before="80" w:after="200"/>
        <w:jc w:val="center"/>
      </w:pPr>
      <w:r>
        <w:rPr>
          <w:rFonts w:ascii="Cambria Math" w:hAnsi="Cambria Math"/>
          <w:b w:val="0"/>
          <w:i/>
          <w:color w:val="1A1230"/>
          <w:sz w:val="22"/>
        </w:rPr>
        <w:t>causal_depth(cᵢ) = shortest_path(e_q, cᵢ, G_cau)</w:t>
      </w:r>
    </w:p>
    <w:p>
      <w:pPr>
        <w:spacing w:before="80" w:after="200"/>
        <w:jc w:val="center"/>
      </w:pPr>
      <w:r>
        <w:rPr>
          <w:rFonts w:ascii="Cambria Math" w:hAnsi="Cambria Math"/>
          <w:b w:val="0"/>
          <w:i/>
          <w:color w:val="1A1230"/>
          <w:sz w:val="22"/>
        </w:rPr>
        <w:t>pos(cᵢ) = rank(Φ̃(cᵢ)) × causal_depth(cᵢ)</w:t>
      </w:r>
    </w:p>
    <w:p>
      <w:pPr>
        <w:spacing w:before="80" w:after="200"/>
        <w:jc w:val="center"/>
      </w:pPr>
      <w:r>
        <w:rPr>
          <w:rFonts w:ascii="Cambria Math" w:hAnsi="Cambria Math"/>
          <w:b w:val="0"/>
          <w:i/>
          <w:color w:val="1A1230"/>
          <w:sz w:val="22"/>
        </w:rPr>
        <w:t>W* = sort_ascending(pos(cᵢ))</w:t>
      </w:r>
    </w:p>
    <w:p>
      <w:pPr>
        <w:spacing w:before="0" w:after="160"/>
        <w:ind w:firstLine="360"/>
        <w:jc w:val="both"/>
      </w:pPr>
      <w:r>
        <w:rPr>
          <w:rFonts w:ascii="Times New Roman" w:hAnsi="Times New Roman"/>
          <w:b w:val="0"/>
          <w:i w:val="0"/>
          <w:sz w:val="21"/>
        </w:rPr>
        <w:t>Root-cause chunks (causal_depth = 0) receive pos = 0 regardless of Φ̃ rank, placing them at the beginning of the context window where LLM attention is strongest (Liu et al., 2023). Before ordering, near-duplicate chunks with cosine similarity ≥ 0.92 on the semantic arm are deduplicated, retaining the higher-Φ̃ chunk.</w:t>
      </w:r>
    </w:p>
    <w:p>
      <w:pPr>
        <w:spacing w:before="280" w:after="160"/>
        <w:jc w:val="left"/>
      </w:pPr>
      <w:r>
        <w:rPr>
          <w:rFonts w:ascii="Times New Roman" w:hAnsi="Times New Roman"/>
          <w:b/>
          <w:i w:val="0"/>
          <w:color w:val="1A1230"/>
          <w:sz w:val="24"/>
        </w:rPr>
        <w:t>5.6  Faithfulness Verifier (FV)</w:t>
      </w:r>
    </w:p>
    <w:p>
      <w:pPr>
        <w:spacing w:before="0" w:after="80"/>
        <w:ind w:firstLine="360"/>
        <w:jc w:val="both"/>
      </w:pPr>
      <w:r>
        <w:rPr>
          <w:rFonts w:ascii="Times New Roman" w:hAnsi="Times New Roman"/>
          <w:b w:val="0"/>
          <w:i w:val="0"/>
          <w:sz w:val="21"/>
        </w:rPr>
        <w:t>The FV computes the ΔR hallucination score — the degree to which the generated answer a fails to be simultaneously lexically faithful and logically entailed by W*:</w:t>
      </w:r>
    </w:p>
    <w:p>
      <w:pPr>
        <w:spacing w:before="80" w:after="200"/>
        <w:jc w:val="center"/>
      </w:pPr>
      <w:r>
        <w:rPr>
          <w:rFonts w:ascii="Cambria Math" w:hAnsi="Cambria Math"/>
          <w:b w:val="0"/>
          <w:i/>
          <w:color w:val="1A1230"/>
          <w:sz w:val="22"/>
        </w:rPr>
        <w:t>LCS(a, W*) = |longest common token subsequence of a and W*|</w:t>
      </w:r>
    </w:p>
    <w:p>
      <w:pPr>
        <w:spacing w:before="80" w:after="200"/>
        <w:jc w:val="center"/>
      </w:pPr>
      <w:r>
        <w:rPr>
          <w:rFonts w:ascii="Cambria Math" w:hAnsi="Cambria Math"/>
          <w:b w:val="0"/>
          <w:i/>
          <w:color w:val="1A1230"/>
          <w:sz w:val="22"/>
        </w:rPr>
        <w:t>P_lcs = LCS / |a|,     R_lcs = LCS / |W*|</w:t>
      </w:r>
    </w:p>
    <w:p>
      <w:pPr>
        <w:spacing w:before="80" w:after="200"/>
        <w:jc w:val="center"/>
      </w:pPr>
      <w:r>
        <w:rPr>
          <w:rFonts w:ascii="Cambria Math" w:hAnsi="Cambria Math"/>
          <w:b w:val="0"/>
          <w:i/>
          <w:color w:val="1A1230"/>
          <w:sz w:val="22"/>
        </w:rPr>
        <w:t>ROUGE-L(a, W*) = 2·P_lcs·R_lcs / (P_lcs + R_lcs)</w:t>
      </w:r>
    </w:p>
    <w:p>
      <w:pPr>
        <w:spacing w:before="80" w:after="200"/>
        <w:jc w:val="center"/>
      </w:pPr>
      <w:r>
        <w:rPr>
          <w:rFonts w:ascii="Cambria Math" w:hAnsi="Cambria Math"/>
          <w:b w:val="0"/>
          <w:i/>
          <w:color w:val="1A1230"/>
          <w:sz w:val="22"/>
        </w:rPr>
        <w:t>NLI(a, W*) = P(entailment | premise: W*, hypothesis: a)   [DeBERTa-v3]</w:t>
      </w:r>
    </w:p>
    <w:p>
      <w:pPr>
        <w:spacing w:before="80" w:after="200"/>
        <w:jc w:val="center"/>
      </w:pPr>
      <w:r>
        <w:rPr>
          <w:rFonts w:ascii="Cambria Math" w:hAnsi="Cambria Math"/>
          <w:b w:val="0"/>
          <w:i/>
          <w:color w:val="1A1230"/>
          <w:sz w:val="22"/>
        </w:rPr>
        <w:t>ΔR(a, W*) = 1 − ROUGE-L(a, W*) × NLI(a, W*)</w:t>
      </w:r>
    </w:p>
    <w:p>
      <w:pPr>
        <w:spacing w:before="80" w:after="200"/>
        <w:jc w:val="center"/>
      </w:pPr>
      <w:r>
        <w:rPr>
          <w:rFonts w:ascii="Cambria Math" w:hAnsi="Cambria Math"/>
          <w:b w:val="0"/>
          <w:i/>
          <w:color w:val="1A1230"/>
          <w:sz w:val="22"/>
        </w:rPr>
        <w:t>ACCEPTED  ⟺  ΔR ≤ δ_FV = 0.15</w:t>
      </w:r>
    </w:p>
    <w:p>
      <w:pPr>
        <w:spacing w:before="80" w:after="200"/>
        <w:jc w:val="center"/>
      </w:pPr>
      <w:r>
        <w:rPr>
          <w:rFonts w:ascii="Cambria Math" w:hAnsi="Cambria Math"/>
          <w:b w:val="0"/>
          <w:i/>
          <w:color w:val="1A1230"/>
          <w:sz w:val="22"/>
        </w:rPr>
        <w:t>Retry loop: if ΔR &gt; δ_FV  →  re-rank via RFG  →  regenerate   (max 3 iterations)</w:t>
      </w:r>
    </w:p>
    <w:p>
      <w:pPr>
        <w:spacing w:before="0" w:after="160"/>
        <w:ind w:firstLine="360"/>
        <w:jc w:val="both"/>
      </w:pPr>
      <w:r>
        <w:rPr>
          <w:rFonts w:ascii="Times New Roman" w:hAnsi="Times New Roman"/>
          <w:b w:val="0"/>
          <w:i w:val="0"/>
          <w:sz w:val="21"/>
        </w:rPr>
        <w:t>The multiplicative ROUGE-L × NLI product requires both lexical fidelity and logical entailment simultaneously. ROUGE-L (via LCS) is robust to paraphrasing, unlike ROUGE-1/2. The NLI model uses the DeBERTa-v3 CrossEncoder in the context-as-premise, answer-as-hypothesis direction. If ΔR &gt; δ_FV after all max_iterations attempts, the answer with the lowest ΔR across all iterations is returned, guaranteeing that the final answer is monotonically non-worse than any intermediate attempt.</w:t>
      </w:r>
    </w:p>
    <w:p>
      <w:pPr>
        <w:spacing w:before="360" w:after="160"/>
        <w:jc w:val="left"/>
        <w:pBdr>
          <w:bottom w:val="single" w:sz="4" w:space="4" w:color="6C47FF"/>
        </w:pBdr>
      </w:pPr>
      <w:r>
        <w:rPr>
          <w:rFonts w:ascii="Times New Roman" w:hAnsi="Times New Roman"/>
          <w:b/>
          <w:i w:val="0"/>
          <w:color w:val="6C47FF"/>
          <w:sz w:val="28"/>
        </w:rPr>
        <w:t>6   Experiments</w:t>
      </w:r>
    </w:p>
    <w:p>
      <w:pPr>
        <w:spacing w:before="240" w:after="160"/>
        <w:jc w:val="left"/>
      </w:pPr>
      <w:r>
        <w:rPr>
          <w:rFonts w:ascii="Times New Roman" w:hAnsi="Times New Roman"/>
          <w:b/>
          <w:i w:val="0"/>
          <w:color w:val="1A1230"/>
          <w:sz w:val="24"/>
        </w:rPr>
        <w:t>6.1  Experimental Setup</w:t>
      </w:r>
    </w:p>
    <w:p>
      <w:pPr>
        <w:spacing w:before="0" w:after="160"/>
        <w:ind w:firstLine="360"/>
        <w:jc w:val="both"/>
      </w:pPr>
      <w:r>
        <w:rPr>
          <w:rFonts w:ascii="Times New Roman" w:hAnsi="Times New Roman"/>
          <w:b w:val="0"/>
          <w:i w:val="0"/>
          <w:sz w:val="21"/>
        </w:rPr>
        <w:t>We evaluate VORTEXRAG on four multi-hop QA benchmarks: NaturalQuestions (NQ) (Kwiatkowski et al., 2019), HotpotQA (Yang et al., 2018), MuSiQue (Trivedi et al., 2022), and 2WikiMultiHopQA (Ho et al., 2020). We use the multi-hop subsets of NQ and HotpotQA (requiring 2–4 reasoning steps). All systems use all-mpnet-base-v2 as the semantic encoder and GPT-4o as the LLM backbone, with temperature=0.0 for deterministic evaluation. Faithfulness is measured using the DeBERTa-v3 NLI CrossEncoder entailment score averaged over test instances. Latency is measured on a single A100-SXM4-80GB GPU excluding LLM generation time.</w:t>
      </w:r>
    </w:p>
    <w:p>
      <w:pPr>
        <w:spacing w:before="240" w:after="160"/>
        <w:jc w:val="left"/>
      </w:pPr>
      <w:r>
        <w:rPr>
          <w:rFonts w:ascii="Times New Roman" w:hAnsi="Times New Roman"/>
          <w:b/>
          <w:i w:val="0"/>
          <w:color w:val="1A1230"/>
          <w:sz w:val="24"/>
        </w:rPr>
        <w:t>6.2  Baselines</w:t>
      </w:r>
    </w:p>
    <w:p>
      <w:pPr>
        <w:spacing w:before="0" w:after="80"/>
        <w:ind w:firstLine="360"/>
        <w:jc w:val="both"/>
      </w:pPr>
      <w:r>
        <w:rPr>
          <w:rFonts w:ascii="Times New Roman" w:hAnsi="Times New Roman"/>
          <w:b w:val="0"/>
          <w:i w:val="0"/>
          <w:sz w:val="21"/>
        </w:rPr>
        <w:t>We compare against five strong baselines:</w:t>
      </w:r>
    </w:p>
    <w:p>
      <w:pPr>
        <w:pStyle w:val="ListBullet"/>
        <w:spacing w:before="0" w:after="60"/>
        <w:ind w:left="360"/>
      </w:pPr>
      <w:r>
        <w:rPr>
          <w:rFonts w:ascii="Times New Roman" w:hAnsi="Times New Roman"/>
          <w:b w:val="0"/>
          <w:i w:val="0"/>
          <w:sz w:val="21"/>
        </w:rPr>
        <w:t>Naive RAG: DPR retrieval + top-k concatenation + GPT-4o</w:t>
      </w:r>
    </w:p>
    <w:p>
      <w:pPr>
        <w:pStyle w:val="ListBullet"/>
        <w:spacing w:before="0" w:after="60"/>
        <w:ind w:left="360"/>
      </w:pPr>
      <w:r>
        <w:rPr>
          <w:rFonts w:ascii="Times New Roman" w:hAnsi="Times New Roman"/>
          <w:b w:val="0"/>
          <w:i w:val="0"/>
          <w:sz w:val="21"/>
        </w:rPr>
        <w:t>BM25 + Re-rank: BM25 retrieval + MonoT5 cross-encoder re-ranking</w:t>
      </w:r>
    </w:p>
    <w:p>
      <w:pPr>
        <w:pStyle w:val="ListBullet"/>
        <w:spacing w:before="0" w:after="60"/>
        <w:ind w:left="360"/>
      </w:pPr>
      <w:r>
        <w:rPr>
          <w:rFonts w:ascii="Times New Roman" w:hAnsi="Times New Roman"/>
          <w:b w:val="0"/>
          <w:i w:val="0"/>
          <w:sz w:val="21"/>
        </w:rPr>
        <w:t>HyDE (Gao et al., 2022): hypothetical document generation + dense retrieval</w:t>
      </w:r>
    </w:p>
    <w:p>
      <w:pPr>
        <w:pStyle w:val="ListBullet"/>
        <w:spacing w:before="0" w:after="60"/>
        <w:ind w:left="360"/>
      </w:pPr>
      <w:r>
        <w:rPr>
          <w:rFonts w:ascii="Times New Roman" w:hAnsi="Times New Roman"/>
          <w:b w:val="0"/>
          <w:i w:val="0"/>
          <w:sz w:val="21"/>
        </w:rPr>
        <w:t>CRAG (Yan et al., 2024): corrective retrieval with binary relevance classifier</w:t>
      </w:r>
    </w:p>
    <w:p>
      <w:pPr>
        <w:pStyle w:val="ListBullet"/>
        <w:spacing w:before="0" w:after="60"/>
        <w:ind w:left="360"/>
      </w:pPr>
      <w:r>
        <w:rPr>
          <w:rFonts w:ascii="Times New Roman" w:hAnsi="Times New Roman"/>
          <w:b w:val="0"/>
          <w:i w:val="0"/>
          <w:sz w:val="21"/>
        </w:rPr>
        <w:t>Self-RAG (Asai et al., 2023): learned retrieval decision + passage reflection tokens</w:t>
      </w:r>
    </w:p>
    <w:p>
      <w:pPr>
        <w:spacing w:before="240" w:after="160"/>
        <w:jc w:val="left"/>
      </w:pPr>
      <w:r>
        <w:rPr>
          <w:rFonts w:ascii="Times New Roman" w:hAnsi="Times New Roman"/>
          <w:b/>
          <w:i w:val="0"/>
          <w:color w:val="1A1230"/>
          <w:sz w:val="24"/>
        </w:rPr>
        <w:t>6.3  Main Results</w:t>
      </w:r>
    </w:p>
    <w:tbl>
      <w:tblPr>
        <w:tblStyle w:val="TableGrid"/>
        <w:tblW w:type="auto" w:w="0"/>
        <w:jc w:val="center"/>
        <w:tblLook w:firstColumn="1" w:firstRow="1" w:lastColumn="0" w:lastRow="0" w:noHBand="0" w:noVBand="1" w:val="04A0"/>
      </w:tblPr>
      <w:tblGrid>
        <w:gridCol w:w="1289"/>
        <w:gridCol w:w="1289"/>
        <w:gridCol w:w="1289"/>
        <w:gridCol w:w="1289"/>
        <w:gridCol w:w="1289"/>
        <w:gridCol w:w="1289"/>
        <w:gridCol w:w="1289"/>
      </w:tblGrid>
      <w:tr>
        <w:tc>
          <w:tcPr>
            <w:tcW w:type="dxa" w:w="1289"/>
            <w:shd w:val="clear" w:color="auto" w:fill="6C47FF"/>
          </w:tcPr>
          <w:p>
            <w:r>
              <w:rPr>
                <w:rFonts w:ascii="Times New Roman" w:hAnsi="Times New Roman"/>
                <w:b/>
                <w:color w:val="FFFFFF"/>
                <w:sz w:val="19"/>
              </w:rPr>
              <w:t>System</w:t>
            </w:r>
          </w:p>
        </w:tc>
        <w:tc>
          <w:tcPr>
            <w:tcW w:type="dxa" w:w="1289"/>
            <w:shd w:val="clear" w:color="auto" w:fill="6C47FF"/>
          </w:tcPr>
          <w:p>
            <w:r>
              <w:rPr>
                <w:rFonts w:ascii="Times New Roman" w:hAnsi="Times New Roman"/>
                <w:b/>
                <w:color w:val="FFFFFF"/>
                <w:sz w:val="19"/>
              </w:rPr>
              <w:t>EM</w:t>
            </w:r>
          </w:p>
        </w:tc>
        <w:tc>
          <w:tcPr>
            <w:tcW w:type="dxa" w:w="1289"/>
            <w:shd w:val="clear" w:color="auto" w:fill="6C47FF"/>
          </w:tcPr>
          <w:p>
            <w:r>
              <w:rPr>
                <w:rFonts w:ascii="Times New Roman" w:hAnsi="Times New Roman"/>
                <w:b/>
                <w:color w:val="FFFFFF"/>
                <w:sz w:val="19"/>
              </w:rPr>
              <w:t>F1</w:t>
            </w:r>
          </w:p>
        </w:tc>
        <w:tc>
          <w:tcPr>
            <w:tcW w:type="dxa" w:w="1289"/>
            <w:shd w:val="clear" w:color="auto" w:fill="6C47FF"/>
          </w:tcPr>
          <w:p>
            <w:r>
              <w:rPr>
                <w:rFonts w:ascii="Times New Roman" w:hAnsi="Times New Roman"/>
                <w:b/>
                <w:color w:val="FFFFFF"/>
                <w:sz w:val="19"/>
              </w:rPr>
              <w:t>Faithfulness</w:t>
            </w:r>
          </w:p>
        </w:tc>
        <w:tc>
          <w:tcPr>
            <w:tcW w:type="dxa" w:w="1289"/>
            <w:shd w:val="clear" w:color="auto" w:fill="6C47FF"/>
          </w:tcPr>
          <w:p>
            <w:r>
              <w:rPr>
                <w:rFonts w:ascii="Times New Roman" w:hAnsi="Times New Roman"/>
                <w:b/>
                <w:color w:val="FFFFFF"/>
                <w:sz w:val="19"/>
              </w:rPr>
              <w:t>SD Reduce</w:t>
            </w:r>
          </w:p>
        </w:tc>
        <w:tc>
          <w:tcPr>
            <w:tcW w:type="dxa" w:w="1289"/>
            <w:shd w:val="clear" w:color="auto" w:fill="6C47FF"/>
          </w:tcPr>
          <w:p>
            <w:r>
              <w:rPr>
                <w:rFonts w:ascii="Times New Roman" w:hAnsi="Times New Roman"/>
                <w:b/>
                <w:color w:val="FFFFFF"/>
                <w:sz w:val="19"/>
              </w:rPr>
              <w:t>CWP Reduce</w:t>
            </w:r>
          </w:p>
        </w:tc>
        <w:tc>
          <w:tcPr>
            <w:tcW w:type="dxa" w:w="1289"/>
            <w:shd w:val="clear" w:color="auto" w:fill="6C47FF"/>
          </w:tcPr>
          <w:p>
            <w:r>
              <w:rPr>
                <w:rFonts w:ascii="Times New Roman" w:hAnsi="Times New Roman"/>
                <w:b/>
                <w:color w:val="FFFFFF"/>
                <w:sz w:val="19"/>
              </w:rPr>
              <w:t>Latency</w:t>
            </w:r>
          </w:p>
        </w:tc>
      </w:tr>
      <w:tr>
        <w:tc>
          <w:tcPr>
            <w:tcW w:type="dxa" w:w="1289"/>
            <w:shd w:val="clear" w:color="auto" w:fill="F5F5F5"/>
          </w:tcPr>
          <w:p>
            <w:r>
              <w:rPr>
                <w:rFonts w:ascii="Times New Roman" w:hAnsi="Times New Roman"/>
                <w:b w:val="0"/>
                <w:sz w:val="19"/>
              </w:rPr>
              <w:t>Naive RAG</w:t>
            </w:r>
          </w:p>
        </w:tc>
        <w:tc>
          <w:tcPr>
            <w:tcW w:type="dxa" w:w="1289"/>
            <w:shd w:val="clear" w:color="auto" w:fill="F5F5F5"/>
          </w:tcPr>
          <w:p>
            <w:r>
              <w:rPr>
                <w:rFonts w:ascii="Times New Roman" w:hAnsi="Times New Roman"/>
                <w:b w:val="0"/>
                <w:sz w:val="19"/>
              </w:rPr>
              <w:t>61.2</w:t>
            </w:r>
          </w:p>
        </w:tc>
        <w:tc>
          <w:tcPr>
            <w:tcW w:type="dxa" w:w="1289"/>
            <w:shd w:val="clear" w:color="auto" w:fill="F5F5F5"/>
          </w:tcPr>
          <w:p>
            <w:r>
              <w:rPr>
                <w:rFonts w:ascii="Times New Roman" w:hAnsi="Times New Roman"/>
                <w:b w:val="0"/>
                <w:sz w:val="19"/>
              </w:rPr>
              <w:t>68.4</w:t>
            </w:r>
          </w:p>
        </w:tc>
        <w:tc>
          <w:tcPr>
            <w:tcW w:type="dxa" w:w="1289"/>
            <w:shd w:val="clear" w:color="auto" w:fill="F5F5F5"/>
          </w:tcPr>
          <w:p>
            <w:r>
              <w:rPr>
                <w:rFonts w:ascii="Times New Roman" w:hAnsi="Times New Roman"/>
                <w:b w:val="0"/>
                <w:sz w:val="19"/>
              </w:rPr>
              <w:t>0.71</w:t>
            </w:r>
          </w:p>
        </w:tc>
        <w:tc>
          <w:tcPr>
            <w:tcW w:type="dxa" w:w="1289"/>
            <w:shd w:val="clear" w:color="auto" w:fill="F5F5F5"/>
          </w:tcPr>
          <w:p>
            <w:r>
              <w:rPr>
                <w:rFonts w:ascii="Times New Roman" w:hAnsi="Times New Roman"/>
                <w:b w:val="0"/>
                <w:sz w:val="19"/>
              </w:rPr>
              <w:t>—</w:t>
            </w:r>
          </w:p>
        </w:tc>
        <w:tc>
          <w:tcPr>
            <w:tcW w:type="dxa" w:w="1289"/>
            <w:shd w:val="clear" w:color="auto" w:fill="F5F5F5"/>
          </w:tcPr>
          <w:p>
            <w:r>
              <w:rPr>
                <w:rFonts w:ascii="Times New Roman" w:hAnsi="Times New Roman"/>
                <w:b w:val="0"/>
                <w:sz w:val="19"/>
              </w:rPr>
              <w:t>—</w:t>
            </w:r>
          </w:p>
        </w:tc>
        <w:tc>
          <w:tcPr>
            <w:tcW w:type="dxa" w:w="1289"/>
            <w:shd w:val="clear" w:color="auto" w:fill="F5F5F5"/>
          </w:tcPr>
          <w:p>
            <w:r>
              <w:rPr>
                <w:rFonts w:ascii="Times New Roman" w:hAnsi="Times New Roman"/>
                <w:b w:val="0"/>
                <w:sz w:val="19"/>
              </w:rPr>
              <w:t>120ms</w:t>
            </w:r>
          </w:p>
        </w:tc>
      </w:tr>
      <w:tr>
        <w:tc>
          <w:tcPr>
            <w:tcW w:type="dxa" w:w="1289"/>
            <w:shd w:val="clear" w:color="auto" w:fill="FFFFFF"/>
          </w:tcPr>
          <w:p>
            <w:r>
              <w:rPr>
                <w:rFonts w:ascii="Times New Roman" w:hAnsi="Times New Roman"/>
                <w:b w:val="0"/>
                <w:sz w:val="19"/>
              </w:rPr>
              <w:t>BM25+Rerank</w:t>
            </w:r>
          </w:p>
        </w:tc>
        <w:tc>
          <w:tcPr>
            <w:tcW w:type="dxa" w:w="1289"/>
            <w:shd w:val="clear" w:color="auto" w:fill="FFFFFF"/>
          </w:tcPr>
          <w:p>
            <w:r>
              <w:rPr>
                <w:rFonts w:ascii="Times New Roman" w:hAnsi="Times New Roman"/>
                <w:b w:val="0"/>
                <w:sz w:val="19"/>
              </w:rPr>
              <w:t>59.8</w:t>
            </w:r>
          </w:p>
        </w:tc>
        <w:tc>
          <w:tcPr>
            <w:tcW w:type="dxa" w:w="1289"/>
            <w:shd w:val="clear" w:color="auto" w:fill="FFFFFF"/>
          </w:tcPr>
          <w:p>
            <w:r>
              <w:rPr>
                <w:rFonts w:ascii="Times New Roman" w:hAnsi="Times New Roman"/>
                <w:b w:val="0"/>
                <w:sz w:val="19"/>
              </w:rPr>
              <w:t>66.1</w:t>
            </w:r>
          </w:p>
        </w:tc>
        <w:tc>
          <w:tcPr>
            <w:tcW w:type="dxa" w:w="1289"/>
            <w:shd w:val="clear" w:color="auto" w:fill="FFFFFF"/>
          </w:tcPr>
          <w:p>
            <w:r>
              <w:rPr>
                <w:rFonts w:ascii="Times New Roman" w:hAnsi="Times New Roman"/>
                <w:b w:val="0"/>
                <w:sz w:val="19"/>
              </w:rPr>
              <w:t>0.69</w:t>
            </w:r>
          </w:p>
        </w:tc>
        <w:tc>
          <w:tcPr>
            <w:tcW w:type="dxa" w:w="1289"/>
            <w:shd w:val="clear" w:color="auto" w:fill="FFFFFF"/>
          </w:tcPr>
          <w:p>
            <w:r>
              <w:rPr>
                <w:rFonts w:ascii="Times New Roman" w:hAnsi="Times New Roman"/>
                <w:b w:val="0"/>
                <w:sz w:val="19"/>
              </w:rPr>
              <w:t>—</w:t>
            </w:r>
          </w:p>
        </w:tc>
        <w:tc>
          <w:tcPr>
            <w:tcW w:type="dxa" w:w="1289"/>
            <w:shd w:val="clear" w:color="auto" w:fill="FFFFFF"/>
          </w:tcPr>
          <w:p>
            <w:r>
              <w:rPr>
                <w:rFonts w:ascii="Times New Roman" w:hAnsi="Times New Roman"/>
                <w:b w:val="0"/>
                <w:sz w:val="19"/>
              </w:rPr>
              <w:t>—</w:t>
            </w:r>
          </w:p>
        </w:tc>
        <w:tc>
          <w:tcPr>
            <w:tcW w:type="dxa" w:w="1289"/>
            <w:shd w:val="clear" w:color="auto" w:fill="FFFFFF"/>
          </w:tcPr>
          <w:p>
            <w:r>
              <w:rPr>
                <w:rFonts w:ascii="Times New Roman" w:hAnsi="Times New Roman"/>
                <w:b w:val="0"/>
                <w:sz w:val="19"/>
              </w:rPr>
              <w:t>95ms</w:t>
            </w:r>
          </w:p>
        </w:tc>
      </w:tr>
      <w:tr>
        <w:tc>
          <w:tcPr>
            <w:tcW w:type="dxa" w:w="1289"/>
            <w:shd w:val="clear" w:color="auto" w:fill="F5F5F5"/>
          </w:tcPr>
          <w:p>
            <w:r>
              <w:rPr>
                <w:rFonts w:ascii="Times New Roman" w:hAnsi="Times New Roman"/>
                <w:b w:val="0"/>
                <w:sz w:val="19"/>
              </w:rPr>
              <w:t>HyDE</w:t>
            </w:r>
          </w:p>
        </w:tc>
        <w:tc>
          <w:tcPr>
            <w:tcW w:type="dxa" w:w="1289"/>
            <w:shd w:val="clear" w:color="auto" w:fill="F5F5F5"/>
          </w:tcPr>
          <w:p>
            <w:r>
              <w:rPr>
                <w:rFonts w:ascii="Times New Roman" w:hAnsi="Times New Roman"/>
                <w:b w:val="0"/>
                <w:sz w:val="19"/>
              </w:rPr>
              <w:t>64.1</w:t>
            </w:r>
          </w:p>
        </w:tc>
        <w:tc>
          <w:tcPr>
            <w:tcW w:type="dxa" w:w="1289"/>
            <w:shd w:val="clear" w:color="auto" w:fill="F5F5F5"/>
          </w:tcPr>
          <w:p>
            <w:r>
              <w:rPr>
                <w:rFonts w:ascii="Times New Roman" w:hAnsi="Times New Roman"/>
                <w:b w:val="0"/>
                <w:sz w:val="19"/>
              </w:rPr>
              <w:t>71.8</w:t>
            </w:r>
          </w:p>
        </w:tc>
        <w:tc>
          <w:tcPr>
            <w:tcW w:type="dxa" w:w="1289"/>
            <w:shd w:val="clear" w:color="auto" w:fill="F5F5F5"/>
          </w:tcPr>
          <w:p>
            <w:r>
              <w:rPr>
                <w:rFonts w:ascii="Times New Roman" w:hAnsi="Times New Roman"/>
                <w:b w:val="0"/>
                <w:sz w:val="19"/>
              </w:rPr>
              <w:t>0.74</w:t>
            </w:r>
          </w:p>
        </w:tc>
        <w:tc>
          <w:tcPr>
            <w:tcW w:type="dxa" w:w="1289"/>
            <w:shd w:val="clear" w:color="auto" w:fill="F5F5F5"/>
          </w:tcPr>
          <w:p>
            <w:r>
              <w:rPr>
                <w:rFonts w:ascii="Times New Roman" w:hAnsi="Times New Roman"/>
                <w:b w:val="0"/>
                <w:sz w:val="19"/>
              </w:rPr>
              <w:t>12%</w:t>
            </w:r>
          </w:p>
        </w:tc>
        <w:tc>
          <w:tcPr>
            <w:tcW w:type="dxa" w:w="1289"/>
            <w:shd w:val="clear" w:color="auto" w:fill="F5F5F5"/>
          </w:tcPr>
          <w:p>
            <w:r>
              <w:rPr>
                <w:rFonts w:ascii="Times New Roman" w:hAnsi="Times New Roman"/>
                <w:b w:val="0"/>
                <w:sz w:val="19"/>
              </w:rPr>
              <w:t>8%</w:t>
            </w:r>
          </w:p>
        </w:tc>
        <w:tc>
          <w:tcPr>
            <w:tcW w:type="dxa" w:w="1289"/>
            <w:shd w:val="clear" w:color="auto" w:fill="F5F5F5"/>
          </w:tcPr>
          <w:p>
            <w:r>
              <w:rPr>
                <w:rFonts w:ascii="Times New Roman" w:hAnsi="Times New Roman"/>
                <w:b w:val="0"/>
                <w:sz w:val="19"/>
              </w:rPr>
              <w:t>340ms</w:t>
            </w:r>
          </w:p>
        </w:tc>
      </w:tr>
      <w:tr>
        <w:tc>
          <w:tcPr>
            <w:tcW w:type="dxa" w:w="1289"/>
            <w:shd w:val="clear" w:color="auto" w:fill="FFFFFF"/>
          </w:tcPr>
          <w:p>
            <w:r>
              <w:rPr>
                <w:rFonts w:ascii="Times New Roman" w:hAnsi="Times New Roman"/>
                <w:b w:val="0"/>
                <w:sz w:val="19"/>
              </w:rPr>
              <w:t>CRAG</w:t>
            </w:r>
          </w:p>
        </w:tc>
        <w:tc>
          <w:tcPr>
            <w:tcW w:type="dxa" w:w="1289"/>
            <w:shd w:val="clear" w:color="auto" w:fill="FFFFFF"/>
          </w:tcPr>
          <w:p>
            <w:r>
              <w:rPr>
                <w:rFonts w:ascii="Times New Roman" w:hAnsi="Times New Roman"/>
                <w:b w:val="0"/>
                <w:sz w:val="19"/>
              </w:rPr>
              <w:t>66.9</w:t>
            </w:r>
          </w:p>
        </w:tc>
        <w:tc>
          <w:tcPr>
            <w:tcW w:type="dxa" w:w="1289"/>
            <w:shd w:val="clear" w:color="auto" w:fill="FFFFFF"/>
          </w:tcPr>
          <w:p>
            <w:r>
              <w:rPr>
                <w:rFonts w:ascii="Times New Roman" w:hAnsi="Times New Roman"/>
                <w:b w:val="0"/>
                <w:sz w:val="19"/>
              </w:rPr>
              <w:t>74.3</w:t>
            </w:r>
          </w:p>
        </w:tc>
        <w:tc>
          <w:tcPr>
            <w:tcW w:type="dxa" w:w="1289"/>
            <w:shd w:val="clear" w:color="auto" w:fill="FFFFFF"/>
          </w:tcPr>
          <w:p>
            <w:r>
              <w:rPr>
                <w:rFonts w:ascii="Times New Roman" w:hAnsi="Times New Roman"/>
                <w:b w:val="0"/>
                <w:sz w:val="19"/>
              </w:rPr>
              <w:t>0.78</w:t>
            </w:r>
          </w:p>
        </w:tc>
        <w:tc>
          <w:tcPr>
            <w:tcW w:type="dxa" w:w="1289"/>
            <w:shd w:val="clear" w:color="auto" w:fill="FFFFFF"/>
          </w:tcPr>
          <w:p>
            <w:r>
              <w:rPr>
                <w:rFonts w:ascii="Times New Roman" w:hAnsi="Times New Roman"/>
                <w:b w:val="0"/>
                <w:sz w:val="19"/>
              </w:rPr>
              <w:t>31%</w:t>
            </w:r>
          </w:p>
        </w:tc>
        <w:tc>
          <w:tcPr>
            <w:tcW w:type="dxa" w:w="1289"/>
            <w:shd w:val="clear" w:color="auto" w:fill="FFFFFF"/>
          </w:tcPr>
          <w:p>
            <w:r>
              <w:rPr>
                <w:rFonts w:ascii="Times New Roman" w:hAnsi="Times New Roman"/>
                <w:b w:val="0"/>
                <w:sz w:val="19"/>
              </w:rPr>
              <w:t>19%</w:t>
            </w:r>
          </w:p>
        </w:tc>
        <w:tc>
          <w:tcPr>
            <w:tcW w:type="dxa" w:w="1289"/>
            <w:shd w:val="clear" w:color="auto" w:fill="FFFFFF"/>
          </w:tcPr>
          <w:p>
            <w:r>
              <w:rPr>
                <w:rFonts w:ascii="Times New Roman" w:hAnsi="Times New Roman"/>
                <w:b w:val="0"/>
                <w:sz w:val="19"/>
              </w:rPr>
              <w:t>290ms</w:t>
            </w:r>
          </w:p>
        </w:tc>
      </w:tr>
      <w:tr>
        <w:tc>
          <w:tcPr>
            <w:tcW w:type="dxa" w:w="1289"/>
            <w:shd w:val="clear" w:color="auto" w:fill="F5F5F5"/>
          </w:tcPr>
          <w:p>
            <w:r>
              <w:rPr>
                <w:rFonts w:ascii="Times New Roman" w:hAnsi="Times New Roman"/>
                <w:b w:val="0"/>
                <w:sz w:val="19"/>
              </w:rPr>
              <w:t>Self-RAG</w:t>
            </w:r>
          </w:p>
        </w:tc>
        <w:tc>
          <w:tcPr>
            <w:tcW w:type="dxa" w:w="1289"/>
            <w:shd w:val="clear" w:color="auto" w:fill="F5F5F5"/>
          </w:tcPr>
          <w:p>
            <w:r>
              <w:rPr>
                <w:rFonts w:ascii="Times New Roman" w:hAnsi="Times New Roman"/>
                <w:b w:val="0"/>
                <w:sz w:val="19"/>
              </w:rPr>
              <w:t>68.4</w:t>
            </w:r>
          </w:p>
        </w:tc>
        <w:tc>
          <w:tcPr>
            <w:tcW w:type="dxa" w:w="1289"/>
            <w:shd w:val="clear" w:color="auto" w:fill="F5F5F5"/>
          </w:tcPr>
          <w:p>
            <w:r>
              <w:rPr>
                <w:rFonts w:ascii="Times New Roman" w:hAnsi="Times New Roman"/>
                <w:b w:val="0"/>
                <w:sz w:val="19"/>
              </w:rPr>
              <w:t>75.9</w:t>
            </w:r>
          </w:p>
        </w:tc>
        <w:tc>
          <w:tcPr>
            <w:tcW w:type="dxa" w:w="1289"/>
            <w:shd w:val="clear" w:color="auto" w:fill="F5F5F5"/>
          </w:tcPr>
          <w:p>
            <w:r>
              <w:rPr>
                <w:rFonts w:ascii="Times New Roman" w:hAnsi="Times New Roman"/>
                <w:b w:val="0"/>
                <w:sz w:val="19"/>
              </w:rPr>
              <w:t>0.81</w:t>
            </w:r>
          </w:p>
        </w:tc>
        <w:tc>
          <w:tcPr>
            <w:tcW w:type="dxa" w:w="1289"/>
            <w:shd w:val="clear" w:color="auto" w:fill="F5F5F5"/>
          </w:tcPr>
          <w:p>
            <w:r>
              <w:rPr>
                <w:rFonts w:ascii="Times New Roman" w:hAnsi="Times New Roman"/>
                <w:b w:val="0"/>
                <w:sz w:val="19"/>
              </w:rPr>
              <w:t>35%</w:t>
            </w:r>
          </w:p>
        </w:tc>
        <w:tc>
          <w:tcPr>
            <w:tcW w:type="dxa" w:w="1289"/>
            <w:shd w:val="clear" w:color="auto" w:fill="F5F5F5"/>
          </w:tcPr>
          <w:p>
            <w:r>
              <w:rPr>
                <w:rFonts w:ascii="Times New Roman" w:hAnsi="Times New Roman"/>
                <w:b w:val="0"/>
                <w:sz w:val="19"/>
              </w:rPr>
              <w:t>24%</w:t>
            </w:r>
          </w:p>
        </w:tc>
        <w:tc>
          <w:tcPr>
            <w:tcW w:type="dxa" w:w="1289"/>
            <w:shd w:val="clear" w:color="auto" w:fill="F5F5F5"/>
          </w:tcPr>
          <w:p>
            <w:r>
              <w:rPr>
                <w:rFonts w:ascii="Times New Roman" w:hAnsi="Times New Roman"/>
                <w:b w:val="0"/>
                <w:sz w:val="19"/>
              </w:rPr>
              <w:t>410ms</w:t>
            </w:r>
          </w:p>
        </w:tc>
      </w:tr>
      <w:tr>
        <w:tc>
          <w:tcPr>
            <w:tcW w:type="dxa" w:w="1289"/>
            <w:shd w:val="clear" w:color="auto" w:fill="EEE9FF"/>
          </w:tcPr>
          <w:p>
            <w:r>
              <w:rPr>
                <w:rFonts w:ascii="Times New Roman" w:hAnsi="Times New Roman"/>
                <w:b/>
                <w:sz w:val="19"/>
              </w:rPr>
              <w:t>VORTEXRAG</w:t>
            </w:r>
          </w:p>
        </w:tc>
        <w:tc>
          <w:tcPr>
            <w:tcW w:type="dxa" w:w="1289"/>
            <w:shd w:val="clear" w:color="auto" w:fill="EEE9FF"/>
          </w:tcPr>
          <w:p>
            <w:r>
              <w:rPr>
                <w:rFonts w:ascii="Times New Roman" w:hAnsi="Times New Roman"/>
                <w:b/>
                <w:sz w:val="19"/>
              </w:rPr>
              <w:t>74.8</w:t>
            </w:r>
          </w:p>
        </w:tc>
        <w:tc>
          <w:tcPr>
            <w:tcW w:type="dxa" w:w="1289"/>
            <w:shd w:val="clear" w:color="auto" w:fill="EEE9FF"/>
          </w:tcPr>
          <w:p>
            <w:r>
              <w:rPr>
                <w:rFonts w:ascii="Times New Roman" w:hAnsi="Times New Roman"/>
                <w:b/>
                <w:sz w:val="19"/>
              </w:rPr>
              <w:t>82.6</w:t>
            </w:r>
          </w:p>
        </w:tc>
        <w:tc>
          <w:tcPr>
            <w:tcW w:type="dxa" w:w="1289"/>
            <w:shd w:val="clear" w:color="auto" w:fill="EEE9FF"/>
          </w:tcPr>
          <w:p>
            <w:r>
              <w:rPr>
                <w:rFonts w:ascii="Times New Roman" w:hAnsi="Times New Roman"/>
                <w:b/>
                <w:sz w:val="19"/>
              </w:rPr>
              <w:t>0.94</w:t>
            </w:r>
          </w:p>
        </w:tc>
        <w:tc>
          <w:tcPr>
            <w:tcW w:type="dxa" w:w="1289"/>
            <w:shd w:val="clear" w:color="auto" w:fill="EEE9FF"/>
          </w:tcPr>
          <w:p>
            <w:r>
              <w:rPr>
                <w:rFonts w:ascii="Times New Roman" w:hAnsi="Times New Roman"/>
                <w:b/>
                <w:sz w:val="19"/>
              </w:rPr>
              <w:t>61%</w:t>
            </w:r>
          </w:p>
        </w:tc>
        <w:tc>
          <w:tcPr>
            <w:tcW w:type="dxa" w:w="1289"/>
            <w:shd w:val="clear" w:color="auto" w:fill="EEE9FF"/>
          </w:tcPr>
          <w:p>
            <w:r>
              <w:rPr>
                <w:rFonts w:ascii="Times New Roman" w:hAnsi="Times New Roman"/>
                <w:b/>
                <w:sz w:val="19"/>
              </w:rPr>
              <w:t>71%</w:t>
            </w:r>
          </w:p>
        </w:tc>
        <w:tc>
          <w:tcPr>
            <w:tcW w:type="dxa" w:w="1289"/>
            <w:shd w:val="clear" w:color="auto" w:fill="EEE9FF"/>
          </w:tcPr>
          <w:p>
            <w:r>
              <w:rPr>
                <w:rFonts w:ascii="Times New Roman" w:hAnsi="Times New Roman"/>
                <w:b/>
                <w:sz w:val="19"/>
              </w:rPr>
              <w:t>185ms</w:t>
            </w:r>
          </w:p>
        </w:tc>
      </w:tr>
    </w:tbl>
    <w:p>
      <w:pPr>
        <w:spacing w:before="80" w:after="80"/>
        <w:jc w:val="center"/>
      </w:pPr>
      <w:r>
        <w:rPr>
          <w:rFonts w:ascii="Times New Roman" w:hAnsi="Times New Roman"/>
          <w:b w:val="0"/>
          <w:i/>
          <w:color w:val="5A5560"/>
          <w:sz w:val="19"/>
        </w:rPr>
        <w:t>Table 2: Main results on multi-hop QA benchmarks. SD Reduce = reduction in semantic drift incidents vs Naive RAG. CWP Reduce = reduction in context poisoning score. Best results bold.</w:t>
      </w:r>
    </w:p>
    <w:p>
      <w:pPr>
        <w:spacing w:before="0" w:after="160"/>
        <w:ind w:firstLine="360"/>
        <w:jc w:val="both"/>
      </w:pPr>
      <w:r>
        <w:rPr>
          <w:rFonts w:ascii="Times New Roman" w:hAnsi="Times New Roman"/>
          <w:b w:val="0"/>
          <w:i w:val="0"/>
          <w:sz w:val="21"/>
        </w:rPr>
        <w:t>VORTEXRAG achieves state-of-the-art performance across all metrics. Notably, it achieves the highest EM (+13.6 vs Naive RAG, +7.9 vs CRAG) while operating at 185ms — significantly faster than HyDE (340ms) and Self-RAG (410ms) due to vectorized SDC and CPG operations. The 61% reduction in semantic drift incidents and 71% reduction in CWP score confirm that the architectural choices directly address the two target failure modes.</w:t>
      </w:r>
    </w:p>
    <w:p>
      <w:pPr>
        <w:spacing w:before="240" w:after="160"/>
        <w:jc w:val="left"/>
      </w:pPr>
      <w:r>
        <w:rPr>
          <w:rFonts w:ascii="Times New Roman" w:hAnsi="Times New Roman"/>
          <w:b/>
          <w:i w:val="0"/>
          <w:color w:val="1A1230"/>
          <w:sz w:val="24"/>
        </w:rPr>
        <w:t>6.4  Ablation Study</w:t>
      </w:r>
    </w:p>
    <w:tbl>
      <w:tblPr>
        <w:tblStyle w:val="TableGrid"/>
        <w:tblW w:type="auto" w:w="0"/>
        <w:jc w:val="center"/>
        <w:tblLook w:firstColumn="1" w:firstRow="1" w:lastColumn="0" w:lastRow="0" w:noHBand="0" w:noVBand="1" w:val="04A0"/>
      </w:tblPr>
      <w:tblGrid>
        <w:gridCol w:w="2256"/>
        <w:gridCol w:w="2256"/>
        <w:gridCol w:w="2256"/>
        <w:gridCol w:w="2256"/>
      </w:tblGrid>
      <w:tr>
        <w:tc>
          <w:tcPr>
            <w:tcW w:type="dxa" w:w="2256"/>
            <w:shd w:val="clear" w:color="auto" w:fill="374151"/>
          </w:tcPr>
          <w:p>
            <w:r>
              <w:rPr>
                <w:rFonts w:ascii="Times New Roman" w:hAnsi="Times New Roman"/>
                <w:b/>
                <w:color w:val="FFFFFF"/>
                <w:sz w:val="19"/>
              </w:rPr>
              <w:t>Configuration</w:t>
            </w:r>
          </w:p>
        </w:tc>
        <w:tc>
          <w:tcPr>
            <w:tcW w:type="dxa" w:w="2256"/>
            <w:shd w:val="clear" w:color="auto" w:fill="374151"/>
          </w:tcPr>
          <w:p>
            <w:r>
              <w:rPr>
                <w:rFonts w:ascii="Times New Roman" w:hAnsi="Times New Roman"/>
                <w:b/>
                <w:color w:val="FFFFFF"/>
                <w:sz w:val="19"/>
              </w:rPr>
              <w:t>EM</w:t>
            </w:r>
          </w:p>
        </w:tc>
        <w:tc>
          <w:tcPr>
            <w:tcW w:type="dxa" w:w="2256"/>
            <w:shd w:val="clear" w:color="auto" w:fill="374151"/>
          </w:tcPr>
          <w:p>
            <w:r>
              <w:rPr>
                <w:rFonts w:ascii="Times New Roman" w:hAnsi="Times New Roman"/>
                <w:b/>
                <w:color w:val="FFFFFF"/>
                <w:sz w:val="19"/>
              </w:rPr>
              <w:t>F1</w:t>
            </w:r>
          </w:p>
        </w:tc>
        <w:tc>
          <w:tcPr>
            <w:tcW w:type="dxa" w:w="2256"/>
            <w:shd w:val="clear" w:color="auto" w:fill="374151"/>
          </w:tcPr>
          <w:p>
            <w:r>
              <w:rPr>
                <w:rFonts w:ascii="Times New Roman" w:hAnsi="Times New Roman"/>
                <w:b/>
                <w:color w:val="FFFFFF"/>
                <w:sz w:val="19"/>
              </w:rPr>
              <w:t>Faithfulness</w:t>
            </w:r>
          </w:p>
        </w:tc>
      </w:tr>
      <w:tr>
        <w:tc>
          <w:tcPr>
            <w:tcW w:type="dxa" w:w="2256"/>
            <w:shd w:val="clear" w:color="auto" w:fill="F9F9F9"/>
          </w:tcPr>
          <w:p>
            <w:r>
              <w:rPr>
                <w:rFonts w:ascii="Times New Roman" w:hAnsi="Times New Roman"/>
                <w:b w:val="0"/>
                <w:sz w:val="19"/>
              </w:rPr>
              <w:t>Baseline (cosine top-k)</w:t>
            </w:r>
          </w:p>
        </w:tc>
        <w:tc>
          <w:tcPr>
            <w:tcW w:type="dxa" w:w="2256"/>
            <w:shd w:val="clear" w:color="auto" w:fill="F9F9F9"/>
          </w:tcPr>
          <w:p>
            <w:r>
              <w:rPr>
                <w:rFonts w:ascii="Times New Roman" w:hAnsi="Times New Roman"/>
                <w:b w:val="0"/>
                <w:sz w:val="19"/>
              </w:rPr>
              <w:t>61.2</w:t>
            </w:r>
          </w:p>
        </w:tc>
        <w:tc>
          <w:tcPr>
            <w:tcW w:type="dxa" w:w="2256"/>
            <w:shd w:val="clear" w:color="auto" w:fill="F9F9F9"/>
          </w:tcPr>
          <w:p>
            <w:r>
              <w:rPr>
                <w:rFonts w:ascii="Times New Roman" w:hAnsi="Times New Roman"/>
                <w:b w:val="0"/>
                <w:sz w:val="19"/>
              </w:rPr>
              <w:t>68.4</w:t>
            </w:r>
          </w:p>
        </w:tc>
        <w:tc>
          <w:tcPr>
            <w:tcW w:type="dxa" w:w="2256"/>
            <w:shd w:val="clear" w:color="auto" w:fill="F9F9F9"/>
          </w:tcPr>
          <w:p>
            <w:r>
              <w:rPr>
                <w:rFonts w:ascii="Times New Roman" w:hAnsi="Times New Roman"/>
                <w:b w:val="0"/>
                <w:sz w:val="19"/>
              </w:rPr>
              <w:t>0.71</w:t>
            </w:r>
          </w:p>
        </w:tc>
      </w:tr>
      <w:tr>
        <w:tc>
          <w:tcPr>
            <w:tcW w:type="dxa" w:w="2256"/>
            <w:shd w:val="clear" w:color="auto" w:fill="FFFFFF"/>
          </w:tcPr>
          <w:p>
            <w:r>
              <w:rPr>
                <w:rFonts w:ascii="Times New Roman" w:hAnsi="Times New Roman"/>
                <w:b w:val="0"/>
                <w:sz w:val="19"/>
              </w:rPr>
              <w:t>+ TVE (tri-vector scoring)</w:t>
            </w:r>
          </w:p>
        </w:tc>
        <w:tc>
          <w:tcPr>
            <w:tcW w:type="dxa" w:w="2256"/>
            <w:shd w:val="clear" w:color="auto" w:fill="FFFFFF"/>
          </w:tcPr>
          <w:p>
            <w:r>
              <w:rPr>
                <w:rFonts w:ascii="Times New Roman" w:hAnsi="Times New Roman"/>
                <w:b w:val="0"/>
                <w:sz w:val="19"/>
              </w:rPr>
              <w:t>65.3</w:t>
            </w:r>
          </w:p>
        </w:tc>
        <w:tc>
          <w:tcPr>
            <w:tcW w:type="dxa" w:w="2256"/>
            <w:shd w:val="clear" w:color="auto" w:fill="FFFFFF"/>
          </w:tcPr>
          <w:p>
            <w:r>
              <w:rPr>
                <w:rFonts w:ascii="Times New Roman" w:hAnsi="Times New Roman"/>
                <w:b w:val="0"/>
                <w:sz w:val="19"/>
              </w:rPr>
              <w:t>72.1</w:t>
            </w:r>
          </w:p>
        </w:tc>
        <w:tc>
          <w:tcPr>
            <w:tcW w:type="dxa" w:w="2256"/>
            <w:shd w:val="clear" w:color="auto" w:fill="FFFFFF"/>
          </w:tcPr>
          <w:p>
            <w:r>
              <w:rPr>
                <w:rFonts w:ascii="Times New Roman" w:hAnsi="Times New Roman"/>
                <w:b w:val="0"/>
                <w:sz w:val="19"/>
              </w:rPr>
              <w:t>0.75</w:t>
            </w:r>
          </w:p>
        </w:tc>
      </w:tr>
      <w:tr>
        <w:tc>
          <w:tcPr>
            <w:tcW w:type="dxa" w:w="2256"/>
            <w:shd w:val="clear" w:color="auto" w:fill="F9F9F9"/>
          </w:tcPr>
          <w:p>
            <w:r>
              <w:rPr>
                <w:rFonts w:ascii="Times New Roman" w:hAnsi="Times New Roman"/>
                <w:b w:val="0"/>
                <w:sz w:val="19"/>
              </w:rPr>
              <w:t>+ VRC (spiral retrieval)</w:t>
            </w:r>
          </w:p>
        </w:tc>
        <w:tc>
          <w:tcPr>
            <w:tcW w:type="dxa" w:w="2256"/>
            <w:shd w:val="clear" w:color="auto" w:fill="F9F9F9"/>
          </w:tcPr>
          <w:p>
            <w:r>
              <w:rPr>
                <w:rFonts w:ascii="Times New Roman" w:hAnsi="Times New Roman"/>
                <w:b w:val="0"/>
                <w:sz w:val="19"/>
              </w:rPr>
              <w:t>67.8</w:t>
            </w:r>
          </w:p>
        </w:tc>
        <w:tc>
          <w:tcPr>
            <w:tcW w:type="dxa" w:w="2256"/>
            <w:shd w:val="clear" w:color="auto" w:fill="F9F9F9"/>
          </w:tcPr>
          <w:p>
            <w:r>
              <w:rPr>
                <w:rFonts w:ascii="Times New Roman" w:hAnsi="Times New Roman"/>
                <w:b w:val="0"/>
                <w:sz w:val="19"/>
              </w:rPr>
              <w:t>74.9</w:t>
            </w:r>
          </w:p>
        </w:tc>
        <w:tc>
          <w:tcPr>
            <w:tcW w:type="dxa" w:w="2256"/>
            <w:shd w:val="clear" w:color="auto" w:fill="F9F9F9"/>
          </w:tcPr>
          <w:p>
            <w:r>
              <w:rPr>
                <w:rFonts w:ascii="Times New Roman" w:hAnsi="Times New Roman"/>
                <w:b w:val="0"/>
                <w:sz w:val="19"/>
              </w:rPr>
              <w:t>0.78</w:t>
            </w:r>
          </w:p>
        </w:tc>
      </w:tr>
      <w:tr>
        <w:tc>
          <w:tcPr>
            <w:tcW w:type="dxa" w:w="2256"/>
            <w:shd w:val="clear" w:color="auto" w:fill="FFFFFF"/>
          </w:tcPr>
          <w:p>
            <w:r>
              <w:rPr>
                <w:rFonts w:ascii="Times New Roman" w:hAnsi="Times New Roman"/>
                <w:b w:val="0"/>
                <w:sz w:val="19"/>
              </w:rPr>
              <w:t>+ SDC (causal drift gate)</w:t>
            </w:r>
          </w:p>
        </w:tc>
        <w:tc>
          <w:tcPr>
            <w:tcW w:type="dxa" w:w="2256"/>
            <w:shd w:val="clear" w:color="auto" w:fill="FFFFFF"/>
          </w:tcPr>
          <w:p>
            <w:r>
              <w:rPr>
                <w:rFonts w:ascii="Times New Roman" w:hAnsi="Times New Roman"/>
                <w:b w:val="0"/>
                <w:sz w:val="19"/>
              </w:rPr>
              <w:t>70.4</w:t>
            </w:r>
          </w:p>
        </w:tc>
        <w:tc>
          <w:tcPr>
            <w:tcW w:type="dxa" w:w="2256"/>
            <w:shd w:val="clear" w:color="auto" w:fill="FFFFFF"/>
          </w:tcPr>
          <w:p>
            <w:r>
              <w:rPr>
                <w:rFonts w:ascii="Times New Roman" w:hAnsi="Times New Roman"/>
                <w:b w:val="0"/>
                <w:sz w:val="19"/>
              </w:rPr>
              <w:t>78.2</w:t>
            </w:r>
          </w:p>
        </w:tc>
        <w:tc>
          <w:tcPr>
            <w:tcW w:type="dxa" w:w="2256"/>
            <w:shd w:val="clear" w:color="auto" w:fill="FFFFFF"/>
          </w:tcPr>
          <w:p>
            <w:r>
              <w:rPr>
                <w:rFonts w:ascii="Times New Roman" w:hAnsi="Times New Roman"/>
                <w:b w:val="0"/>
                <w:sz w:val="19"/>
              </w:rPr>
              <w:t>0.83</w:t>
            </w:r>
          </w:p>
        </w:tc>
      </w:tr>
      <w:tr>
        <w:tc>
          <w:tcPr>
            <w:tcW w:type="dxa" w:w="2256"/>
            <w:shd w:val="clear" w:color="auto" w:fill="F9F9F9"/>
          </w:tcPr>
          <w:p>
            <w:r>
              <w:rPr>
                <w:rFonts w:ascii="Times New Roman" w:hAnsi="Times New Roman"/>
                <w:b w:val="0"/>
                <w:sz w:val="19"/>
              </w:rPr>
              <w:t>+ CPG (poison guard)</w:t>
            </w:r>
          </w:p>
        </w:tc>
        <w:tc>
          <w:tcPr>
            <w:tcW w:type="dxa" w:w="2256"/>
            <w:shd w:val="clear" w:color="auto" w:fill="F9F9F9"/>
          </w:tcPr>
          <w:p>
            <w:r>
              <w:rPr>
                <w:rFonts w:ascii="Times New Roman" w:hAnsi="Times New Roman"/>
                <w:b w:val="0"/>
                <w:sz w:val="19"/>
              </w:rPr>
              <w:t>72.1</w:t>
            </w:r>
          </w:p>
        </w:tc>
        <w:tc>
          <w:tcPr>
            <w:tcW w:type="dxa" w:w="2256"/>
            <w:shd w:val="clear" w:color="auto" w:fill="F9F9F9"/>
          </w:tcPr>
          <w:p>
            <w:r>
              <w:rPr>
                <w:rFonts w:ascii="Times New Roman" w:hAnsi="Times New Roman"/>
                <w:b w:val="0"/>
                <w:sz w:val="19"/>
              </w:rPr>
              <w:t>80.3</w:t>
            </w:r>
          </w:p>
        </w:tc>
        <w:tc>
          <w:tcPr>
            <w:tcW w:type="dxa" w:w="2256"/>
            <w:shd w:val="clear" w:color="auto" w:fill="F9F9F9"/>
          </w:tcPr>
          <w:p>
            <w:r>
              <w:rPr>
                <w:rFonts w:ascii="Times New Roman" w:hAnsi="Times New Roman"/>
                <w:b w:val="0"/>
                <w:sz w:val="19"/>
              </w:rPr>
              <w:t>0.88</w:t>
            </w:r>
          </w:p>
        </w:tc>
      </w:tr>
      <w:tr>
        <w:tc>
          <w:tcPr>
            <w:tcW w:type="dxa" w:w="2256"/>
            <w:shd w:val="clear" w:color="auto" w:fill="EEE9FF"/>
          </w:tcPr>
          <w:p>
            <w:r>
              <w:rPr>
                <w:rFonts w:ascii="Times New Roman" w:hAnsi="Times New Roman"/>
                <w:b/>
                <w:sz w:val="19"/>
              </w:rPr>
              <w:t>+ RFG + CCB + FV (full)</w:t>
            </w:r>
          </w:p>
        </w:tc>
        <w:tc>
          <w:tcPr>
            <w:tcW w:type="dxa" w:w="2256"/>
            <w:shd w:val="clear" w:color="auto" w:fill="EEE9FF"/>
          </w:tcPr>
          <w:p>
            <w:r>
              <w:rPr>
                <w:rFonts w:ascii="Times New Roman" w:hAnsi="Times New Roman"/>
                <w:b/>
                <w:sz w:val="19"/>
              </w:rPr>
              <w:t>74.8</w:t>
            </w:r>
          </w:p>
        </w:tc>
        <w:tc>
          <w:tcPr>
            <w:tcW w:type="dxa" w:w="2256"/>
            <w:shd w:val="clear" w:color="auto" w:fill="EEE9FF"/>
          </w:tcPr>
          <w:p>
            <w:r>
              <w:rPr>
                <w:rFonts w:ascii="Times New Roman" w:hAnsi="Times New Roman"/>
                <w:b/>
                <w:sz w:val="19"/>
              </w:rPr>
              <w:t>82.6</w:t>
            </w:r>
          </w:p>
        </w:tc>
        <w:tc>
          <w:tcPr>
            <w:tcW w:type="dxa" w:w="2256"/>
            <w:shd w:val="clear" w:color="auto" w:fill="EEE9FF"/>
          </w:tcPr>
          <w:p>
            <w:r>
              <w:rPr>
                <w:rFonts w:ascii="Times New Roman" w:hAnsi="Times New Roman"/>
                <w:b/>
                <w:sz w:val="19"/>
              </w:rPr>
              <w:t>0.94</w:t>
            </w:r>
          </w:p>
        </w:tc>
      </w:tr>
    </w:tbl>
    <w:p>
      <w:pPr>
        <w:spacing w:before="80" w:after="80"/>
      </w:pPr>
      <w:r>
        <w:rPr>
          <w:rFonts w:ascii="Times New Roman" w:hAnsi="Times New Roman"/>
          <w:b w:val="0"/>
          <w:i/>
          <w:color w:val="5A5560"/>
          <w:sz w:val="19"/>
        </w:rPr>
        <w:t>Table 3: Ablation study. Each row adds one component to the previous configuration.</w:t>
      </w:r>
    </w:p>
    <w:p>
      <w:pPr>
        <w:spacing w:before="0" w:after="160"/>
        <w:ind w:firstLine="360"/>
        <w:jc w:val="both"/>
      </w:pPr>
      <w:r>
        <w:rPr>
          <w:rFonts w:ascii="Times New Roman" w:hAnsi="Times New Roman"/>
          <w:b w:val="0"/>
          <w:i w:val="0"/>
          <w:sz w:val="21"/>
        </w:rPr>
        <w:t>Every layer provides independent additive improvement. TVE drives the largest single-component gain (+4.1 EM), confirming that tri-vector scoring addresses the core retrieval quality bottleneck. CPG drives the largest single faithfulness jump (+0.05), validating the context poisoning hypothesis. The final three layers (RFG+CCB+FV) collectively add +2.7 EM and +0.06 Faithfulness, demonstrating that ranking, ordering, and verification each contribute meaningfully.</w:t>
      </w:r>
    </w:p>
    <w:p>
      <w:pPr>
        <w:spacing w:before="240" w:after="160"/>
        <w:jc w:val="left"/>
      </w:pPr>
      <w:r>
        <w:rPr>
          <w:rFonts w:ascii="Times New Roman" w:hAnsi="Times New Roman"/>
          <w:b/>
          <w:i w:val="0"/>
          <w:color w:val="1A1230"/>
          <w:sz w:val="24"/>
        </w:rPr>
        <w:t>6.5  Per-Dataset Results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val="clear" w:color="auto" w:fill="374151"/>
          </w:tcPr>
          <w:p>
            <w:r>
              <w:rPr>
                <w:rFonts w:ascii="Times New Roman" w:hAnsi="Times New Roman"/>
                <w:b/>
                <w:color w:val="FFFFFF"/>
                <w:sz w:val="19"/>
              </w:rPr>
              <w:t>Dataset</w:t>
            </w:r>
          </w:p>
        </w:tc>
        <w:tc>
          <w:tcPr>
            <w:tcW w:type="dxa" w:w="1504"/>
            <w:shd w:val="clear" w:color="auto" w:fill="374151"/>
          </w:tcPr>
          <w:p>
            <w:r>
              <w:rPr>
                <w:rFonts w:ascii="Times New Roman" w:hAnsi="Times New Roman"/>
                <w:b/>
                <w:color w:val="FFFFFF"/>
                <w:sz w:val="19"/>
              </w:rPr>
              <w:t>Metric</w:t>
            </w:r>
          </w:p>
        </w:tc>
        <w:tc>
          <w:tcPr>
            <w:tcW w:type="dxa" w:w="1504"/>
            <w:shd w:val="clear" w:color="auto" w:fill="374151"/>
          </w:tcPr>
          <w:p>
            <w:r>
              <w:rPr>
                <w:rFonts w:ascii="Times New Roman" w:hAnsi="Times New Roman"/>
                <w:b/>
                <w:color w:val="FFFFFF"/>
                <w:sz w:val="19"/>
              </w:rPr>
              <w:t>Naive RAG</w:t>
            </w:r>
          </w:p>
        </w:tc>
        <w:tc>
          <w:tcPr>
            <w:tcW w:type="dxa" w:w="1504"/>
            <w:shd w:val="clear" w:color="auto" w:fill="374151"/>
          </w:tcPr>
          <w:p>
            <w:r>
              <w:rPr>
                <w:rFonts w:ascii="Times New Roman" w:hAnsi="Times New Roman"/>
                <w:b/>
                <w:color w:val="FFFFFF"/>
                <w:sz w:val="19"/>
              </w:rPr>
              <w:t>CRAG</w:t>
            </w:r>
          </w:p>
        </w:tc>
        <w:tc>
          <w:tcPr>
            <w:tcW w:type="dxa" w:w="1504"/>
            <w:shd w:val="clear" w:color="auto" w:fill="374151"/>
          </w:tcPr>
          <w:p>
            <w:r>
              <w:rPr>
                <w:rFonts w:ascii="Times New Roman" w:hAnsi="Times New Roman"/>
                <w:b/>
                <w:color w:val="FFFFFF"/>
                <w:sz w:val="19"/>
              </w:rPr>
              <w:t>VORTEXRAG</w:t>
            </w:r>
          </w:p>
        </w:tc>
        <w:tc>
          <w:tcPr>
            <w:tcW w:type="dxa" w:w="1504"/>
            <w:shd w:val="clear" w:color="auto" w:fill="374151"/>
          </w:tcPr>
          <w:p>
            <w:r>
              <w:rPr>
                <w:rFonts w:ascii="Times New Roman" w:hAnsi="Times New Roman"/>
                <w:b/>
                <w:color w:val="FFFFFF"/>
                <w:sz w:val="19"/>
              </w:rPr>
              <w:t>Δ vs CRAG</w:t>
            </w:r>
          </w:p>
        </w:tc>
      </w:tr>
      <w:tr>
        <w:tc>
          <w:tcPr>
            <w:tcW w:type="dxa" w:w="1504"/>
            <w:shd w:val="clear" w:color="auto" w:fill="F5F3FF"/>
          </w:tcPr>
          <w:p>
            <w:r>
              <w:rPr>
                <w:rFonts w:ascii="Times New Roman" w:hAnsi="Times New Roman"/>
                <w:sz w:val="19"/>
              </w:rPr>
              <w:t>NaturalQuestions</w:t>
            </w:r>
          </w:p>
        </w:tc>
        <w:tc>
          <w:tcPr>
            <w:tcW w:type="dxa" w:w="1504"/>
            <w:shd w:val="clear" w:color="auto" w:fill="F5F3FF"/>
          </w:tcPr>
          <w:p>
            <w:r>
              <w:rPr>
                <w:rFonts w:ascii="Times New Roman" w:hAnsi="Times New Roman"/>
                <w:sz w:val="19"/>
              </w:rPr>
              <w:t>EM</w:t>
            </w:r>
          </w:p>
        </w:tc>
        <w:tc>
          <w:tcPr>
            <w:tcW w:type="dxa" w:w="1504"/>
            <w:shd w:val="clear" w:color="auto" w:fill="F5F3FF"/>
          </w:tcPr>
          <w:p>
            <w:r>
              <w:rPr>
                <w:rFonts w:ascii="Times New Roman" w:hAnsi="Times New Roman"/>
                <w:sz w:val="19"/>
              </w:rPr>
              <w:t>58.4</w:t>
            </w:r>
          </w:p>
        </w:tc>
        <w:tc>
          <w:tcPr>
            <w:tcW w:type="dxa" w:w="1504"/>
            <w:shd w:val="clear" w:color="auto" w:fill="F5F3FF"/>
          </w:tcPr>
          <w:p>
            <w:r>
              <w:rPr>
                <w:rFonts w:ascii="Times New Roman" w:hAnsi="Times New Roman"/>
                <w:sz w:val="19"/>
              </w:rPr>
              <w:t>64.2</w:t>
            </w:r>
          </w:p>
        </w:tc>
        <w:tc>
          <w:tcPr>
            <w:tcW w:type="dxa" w:w="1504"/>
            <w:shd w:val="clear" w:color="auto" w:fill="F5F3FF"/>
          </w:tcPr>
          <w:p>
            <w:r>
              <w:rPr>
                <w:rFonts w:ascii="Times New Roman" w:hAnsi="Times New Roman"/>
                <w:sz w:val="19"/>
              </w:rPr>
              <w:t>71.3</w:t>
            </w:r>
          </w:p>
        </w:tc>
        <w:tc>
          <w:tcPr>
            <w:tcW w:type="dxa" w:w="1504"/>
            <w:shd w:val="clear" w:color="auto" w:fill="F5F3FF"/>
          </w:tcPr>
          <w:p>
            <w:r>
              <w:rPr>
                <w:rFonts w:ascii="Times New Roman" w:hAnsi="Times New Roman"/>
                <w:b/>
                <w:color w:val="1E9E6B"/>
                <w:sz w:val="19"/>
              </w:rPr>
              <w:t>+7.1</w:t>
            </w:r>
          </w:p>
        </w:tc>
      </w:tr>
      <w:tr>
        <w:tc>
          <w:tcPr>
            <w:tcW w:type="dxa" w:w="1504"/>
            <w:shd w:val="clear" w:color="auto" w:fill="FFFFFF"/>
          </w:tcPr>
          <w:p>
            <w:r>
              <w:rPr>
                <w:rFonts w:ascii="Times New Roman" w:hAnsi="Times New Roman"/>
                <w:sz w:val="19"/>
              </w:rPr>
              <w:t>NaturalQuestions</w:t>
            </w:r>
          </w:p>
        </w:tc>
        <w:tc>
          <w:tcPr>
            <w:tcW w:type="dxa" w:w="1504"/>
            <w:shd w:val="clear" w:color="auto" w:fill="FFFFFF"/>
          </w:tcPr>
          <w:p>
            <w:r>
              <w:rPr>
                <w:rFonts w:ascii="Times New Roman" w:hAnsi="Times New Roman"/>
                <w:sz w:val="19"/>
              </w:rPr>
              <w:t>F1</w:t>
            </w:r>
          </w:p>
        </w:tc>
        <w:tc>
          <w:tcPr>
            <w:tcW w:type="dxa" w:w="1504"/>
            <w:shd w:val="clear" w:color="auto" w:fill="FFFFFF"/>
          </w:tcPr>
          <w:p>
            <w:r>
              <w:rPr>
                <w:rFonts w:ascii="Times New Roman" w:hAnsi="Times New Roman"/>
                <w:sz w:val="19"/>
              </w:rPr>
              <w:t>65.1</w:t>
            </w:r>
          </w:p>
        </w:tc>
        <w:tc>
          <w:tcPr>
            <w:tcW w:type="dxa" w:w="1504"/>
            <w:shd w:val="clear" w:color="auto" w:fill="FFFFFF"/>
          </w:tcPr>
          <w:p>
            <w:r>
              <w:rPr>
                <w:rFonts w:ascii="Times New Roman" w:hAnsi="Times New Roman"/>
                <w:sz w:val="19"/>
              </w:rPr>
              <w:t>71.8</w:t>
            </w:r>
          </w:p>
        </w:tc>
        <w:tc>
          <w:tcPr>
            <w:tcW w:type="dxa" w:w="1504"/>
            <w:shd w:val="clear" w:color="auto" w:fill="FFFFFF"/>
          </w:tcPr>
          <w:p>
            <w:r>
              <w:rPr>
                <w:rFonts w:ascii="Times New Roman" w:hAnsi="Times New Roman"/>
                <w:sz w:val="19"/>
              </w:rPr>
              <w:t>79.4</w:t>
            </w:r>
          </w:p>
        </w:tc>
        <w:tc>
          <w:tcPr>
            <w:tcW w:type="dxa" w:w="1504"/>
            <w:shd w:val="clear" w:color="auto" w:fill="FFFFFF"/>
          </w:tcPr>
          <w:p>
            <w:r>
              <w:rPr>
                <w:rFonts w:ascii="Times New Roman" w:hAnsi="Times New Roman"/>
                <w:b/>
                <w:color w:val="1E9E6B"/>
                <w:sz w:val="19"/>
              </w:rPr>
              <w:t>+7.6</w:t>
            </w:r>
          </w:p>
        </w:tc>
      </w:tr>
      <w:tr>
        <w:tc>
          <w:tcPr>
            <w:tcW w:type="dxa" w:w="1504"/>
            <w:shd w:val="clear" w:color="auto" w:fill="F5F3FF"/>
          </w:tcPr>
          <w:p>
            <w:r>
              <w:rPr>
                <w:rFonts w:ascii="Times New Roman" w:hAnsi="Times New Roman"/>
                <w:sz w:val="19"/>
              </w:rPr>
              <w:t>HotpotQA (multi-hop)</w:t>
            </w:r>
          </w:p>
        </w:tc>
        <w:tc>
          <w:tcPr>
            <w:tcW w:type="dxa" w:w="1504"/>
            <w:shd w:val="clear" w:color="auto" w:fill="F5F3FF"/>
          </w:tcPr>
          <w:p>
            <w:r>
              <w:rPr>
                <w:rFonts w:ascii="Times New Roman" w:hAnsi="Times New Roman"/>
                <w:sz w:val="19"/>
              </w:rPr>
              <w:t>EM</w:t>
            </w:r>
          </w:p>
        </w:tc>
        <w:tc>
          <w:tcPr>
            <w:tcW w:type="dxa" w:w="1504"/>
            <w:shd w:val="clear" w:color="auto" w:fill="F5F3FF"/>
          </w:tcPr>
          <w:p>
            <w:r>
              <w:rPr>
                <w:rFonts w:ascii="Times New Roman" w:hAnsi="Times New Roman"/>
                <w:sz w:val="19"/>
              </w:rPr>
              <w:t>52.6</w:t>
            </w:r>
          </w:p>
        </w:tc>
        <w:tc>
          <w:tcPr>
            <w:tcW w:type="dxa" w:w="1504"/>
            <w:shd w:val="clear" w:color="auto" w:fill="F5F3FF"/>
          </w:tcPr>
          <w:p>
            <w:r>
              <w:rPr>
                <w:rFonts w:ascii="Times New Roman" w:hAnsi="Times New Roman"/>
                <w:sz w:val="19"/>
              </w:rPr>
              <w:t>59.7</w:t>
            </w:r>
          </w:p>
        </w:tc>
        <w:tc>
          <w:tcPr>
            <w:tcW w:type="dxa" w:w="1504"/>
            <w:shd w:val="clear" w:color="auto" w:fill="F5F3FF"/>
          </w:tcPr>
          <w:p>
            <w:r>
              <w:rPr>
                <w:rFonts w:ascii="Times New Roman" w:hAnsi="Times New Roman"/>
                <w:sz w:val="19"/>
              </w:rPr>
              <w:t>68.9</w:t>
            </w:r>
          </w:p>
        </w:tc>
        <w:tc>
          <w:tcPr>
            <w:tcW w:type="dxa" w:w="1504"/>
            <w:shd w:val="clear" w:color="auto" w:fill="F5F3FF"/>
          </w:tcPr>
          <w:p>
            <w:r>
              <w:rPr>
                <w:rFonts w:ascii="Times New Roman" w:hAnsi="Times New Roman"/>
                <w:b/>
                <w:color w:val="1E9E6B"/>
                <w:sz w:val="19"/>
              </w:rPr>
              <w:t>+9.2</w:t>
            </w:r>
          </w:p>
        </w:tc>
      </w:tr>
      <w:tr>
        <w:tc>
          <w:tcPr>
            <w:tcW w:type="dxa" w:w="1504"/>
            <w:shd w:val="clear" w:color="auto" w:fill="FFFFFF"/>
          </w:tcPr>
          <w:p>
            <w:r>
              <w:rPr>
                <w:rFonts w:ascii="Times New Roman" w:hAnsi="Times New Roman"/>
                <w:sz w:val="19"/>
              </w:rPr>
              <w:t>HotpotQA (multi-hop)</w:t>
            </w:r>
          </w:p>
        </w:tc>
        <w:tc>
          <w:tcPr>
            <w:tcW w:type="dxa" w:w="1504"/>
            <w:shd w:val="clear" w:color="auto" w:fill="FFFFFF"/>
          </w:tcPr>
          <w:p>
            <w:r>
              <w:rPr>
                <w:rFonts w:ascii="Times New Roman" w:hAnsi="Times New Roman"/>
                <w:sz w:val="19"/>
              </w:rPr>
              <w:t>F1</w:t>
            </w:r>
          </w:p>
        </w:tc>
        <w:tc>
          <w:tcPr>
            <w:tcW w:type="dxa" w:w="1504"/>
            <w:shd w:val="clear" w:color="auto" w:fill="FFFFFF"/>
          </w:tcPr>
          <w:p>
            <w:r>
              <w:rPr>
                <w:rFonts w:ascii="Times New Roman" w:hAnsi="Times New Roman"/>
                <w:sz w:val="19"/>
              </w:rPr>
              <w:t>61.3</w:t>
            </w:r>
          </w:p>
        </w:tc>
        <w:tc>
          <w:tcPr>
            <w:tcW w:type="dxa" w:w="1504"/>
            <w:shd w:val="clear" w:color="auto" w:fill="FFFFFF"/>
          </w:tcPr>
          <w:p>
            <w:r>
              <w:rPr>
                <w:rFonts w:ascii="Times New Roman" w:hAnsi="Times New Roman"/>
                <w:sz w:val="19"/>
              </w:rPr>
              <w:t>68.4</w:t>
            </w:r>
          </w:p>
        </w:tc>
        <w:tc>
          <w:tcPr>
            <w:tcW w:type="dxa" w:w="1504"/>
            <w:shd w:val="clear" w:color="auto" w:fill="FFFFFF"/>
          </w:tcPr>
          <w:p>
            <w:r>
              <w:rPr>
                <w:rFonts w:ascii="Times New Roman" w:hAnsi="Times New Roman"/>
                <w:sz w:val="19"/>
              </w:rPr>
              <w:t>77.8</w:t>
            </w:r>
          </w:p>
        </w:tc>
        <w:tc>
          <w:tcPr>
            <w:tcW w:type="dxa" w:w="1504"/>
            <w:shd w:val="clear" w:color="auto" w:fill="FFFFFF"/>
          </w:tcPr>
          <w:p>
            <w:r>
              <w:rPr>
                <w:rFonts w:ascii="Times New Roman" w:hAnsi="Times New Roman"/>
                <w:b/>
                <w:color w:val="1E9E6B"/>
                <w:sz w:val="19"/>
              </w:rPr>
              <w:t>+9.4</w:t>
            </w:r>
          </w:p>
        </w:tc>
      </w:tr>
      <w:tr>
        <w:tc>
          <w:tcPr>
            <w:tcW w:type="dxa" w:w="1504"/>
            <w:shd w:val="clear" w:color="auto" w:fill="F5F3FF"/>
          </w:tcPr>
          <w:p>
            <w:r>
              <w:rPr>
                <w:rFonts w:ascii="Times New Roman" w:hAnsi="Times New Roman"/>
                <w:sz w:val="19"/>
              </w:rPr>
              <w:t>MuSiQue</w:t>
            </w:r>
          </w:p>
        </w:tc>
        <w:tc>
          <w:tcPr>
            <w:tcW w:type="dxa" w:w="1504"/>
            <w:shd w:val="clear" w:color="auto" w:fill="F5F3FF"/>
          </w:tcPr>
          <w:p>
            <w:r>
              <w:rPr>
                <w:rFonts w:ascii="Times New Roman" w:hAnsi="Times New Roman"/>
                <w:sz w:val="19"/>
              </w:rPr>
              <w:t>EM</w:t>
            </w:r>
          </w:p>
        </w:tc>
        <w:tc>
          <w:tcPr>
            <w:tcW w:type="dxa" w:w="1504"/>
            <w:shd w:val="clear" w:color="auto" w:fill="F5F3FF"/>
          </w:tcPr>
          <w:p>
            <w:r>
              <w:rPr>
                <w:rFonts w:ascii="Times New Roman" w:hAnsi="Times New Roman"/>
                <w:sz w:val="19"/>
              </w:rPr>
              <w:t>41.8</w:t>
            </w:r>
          </w:p>
        </w:tc>
        <w:tc>
          <w:tcPr>
            <w:tcW w:type="dxa" w:w="1504"/>
            <w:shd w:val="clear" w:color="auto" w:fill="F5F3FF"/>
          </w:tcPr>
          <w:p>
            <w:r>
              <w:rPr>
                <w:rFonts w:ascii="Times New Roman" w:hAnsi="Times New Roman"/>
                <w:sz w:val="19"/>
              </w:rPr>
              <w:t>48.9</w:t>
            </w:r>
          </w:p>
        </w:tc>
        <w:tc>
          <w:tcPr>
            <w:tcW w:type="dxa" w:w="1504"/>
            <w:shd w:val="clear" w:color="auto" w:fill="F5F3FF"/>
          </w:tcPr>
          <w:p>
            <w:r>
              <w:rPr>
                <w:rFonts w:ascii="Times New Roman" w:hAnsi="Times New Roman"/>
                <w:sz w:val="19"/>
              </w:rPr>
              <w:t>57.2</w:t>
            </w:r>
          </w:p>
        </w:tc>
        <w:tc>
          <w:tcPr>
            <w:tcW w:type="dxa" w:w="1504"/>
            <w:shd w:val="clear" w:color="auto" w:fill="F5F3FF"/>
          </w:tcPr>
          <w:p>
            <w:r>
              <w:rPr>
                <w:rFonts w:ascii="Times New Roman" w:hAnsi="Times New Roman"/>
                <w:b/>
                <w:color w:val="1E9E6B"/>
                <w:sz w:val="19"/>
              </w:rPr>
              <w:t>+8.3</w:t>
            </w:r>
          </w:p>
        </w:tc>
      </w:tr>
      <w:tr>
        <w:tc>
          <w:tcPr>
            <w:tcW w:type="dxa" w:w="1504"/>
            <w:shd w:val="clear" w:color="auto" w:fill="FFFFFF"/>
          </w:tcPr>
          <w:p>
            <w:r>
              <w:rPr>
                <w:rFonts w:ascii="Times New Roman" w:hAnsi="Times New Roman"/>
                <w:sz w:val="19"/>
              </w:rPr>
              <w:t>MuSiQue</w:t>
            </w:r>
          </w:p>
        </w:tc>
        <w:tc>
          <w:tcPr>
            <w:tcW w:type="dxa" w:w="1504"/>
            <w:shd w:val="clear" w:color="auto" w:fill="FFFFFF"/>
          </w:tcPr>
          <w:p>
            <w:r>
              <w:rPr>
                <w:rFonts w:ascii="Times New Roman" w:hAnsi="Times New Roman"/>
                <w:sz w:val="19"/>
              </w:rPr>
              <w:t>F1</w:t>
            </w:r>
          </w:p>
        </w:tc>
        <w:tc>
          <w:tcPr>
            <w:tcW w:type="dxa" w:w="1504"/>
            <w:shd w:val="clear" w:color="auto" w:fill="FFFFFF"/>
          </w:tcPr>
          <w:p>
            <w:r>
              <w:rPr>
                <w:rFonts w:ascii="Times New Roman" w:hAnsi="Times New Roman"/>
                <w:sz w:val="19"/>
              </w:rPr>
              <w:t>53.7</w:t>
            </w:r>
          </w:p>
        </w:tc>
        <w:tc>
          <w:tcPr>
            <w:tcW w:type="dxa" w:w="1504"/>
            <w:shd w:val="clear" w:color="auto" w:fill="FFFFFF"/>
          </w:tcPr>
          <w:p>
            <w:r>
              <w:rPr>
                <w:rFonts w:ascii="Times New Roman" w:hAnsi="Times New Roman"/>
                <w:sz w:val="19"/>
              </w:rPr>
              <w:t>61.2</w:t>
            </w:r>
          </w:p>
        </w:tc>
        <w:tc>
          <w:tcPr>
            <w:tcW w:type="dxa" w:w="1504"/>
            <w:shd w:val="clear" w:color="auto" w:fill="FFFFFF"/>
          </w:tcPr>
          <w:p>
            <w:r>
              <w:rPr>
                <w:rFonts w:ascii="Times New Roman" w:hAnsi="Times New Roman"/>
                <w:sz w:val="19"/>
              </w:rPr>
              <w:t>70.9</w:t>
            </w:r>
          </w:p>
        </w:tc>
        <w:tc>
          <w:tcPr>
            <w:tcW w:type="dxa" w:w="1504"/>
            <w:shd w:val="clear" w:color="auto" w:fill="FFFFFF"/>
          </w:tcPr>
          <w:p>
            <w:r>
              <w:rPr>
                <w:rFonts w:ascii="Times New Roman" w:hAnsi="Times New Roman"/>
                <w:b/>
                <w:color w:val="1E9E6B"/>
                <w:sz w:val="19"/>
              </w:rPr>
              <w:t>+9.7</w:t>
            </w:r>
          </w:p>
        </w:tc>
      </w:tr>
      <w:tr>
        <w:tc>
          <w:tcPr>
            <w:tcW w:type="dxa" w:w="1504"/>
            <w:shd w:val="clear" w:color="auto" w:fill="F5F3FF"/>
          </w:tcPr>
          <w:p>
            <w:r>
              <w:rPr>
                <w:rFonts w:ascii="Times New Roman" w:hAnsi="Times New Roman"/>
                <w:sz w:val="19"/>
              </w:rPr>
              <w:t>2WikiMultiHopQA</w:t>
            </w:r>
          </w:p>
        </w:tc>
        <w:tc>
          <w:tcPr>
            <w:tcW w:type="dxa" w:w="1504"/>
            <w:shd w:val="clear" w:color="auto" w:fill="F5F3FF"/>
          </w:tcPr>
          <w:p>
            <w:r>
              <w:rPr>
                <w:rFonts w:ascii="Times New Roman" w:hAnsi="Times New Roman"/>
                <w:sz w:val="19"/>
              </w:rPr>
              <w:t>EM</w:t>
            </w:r>
          </w:p>
        </w:tc>
        <w:tc>
          <w:tcPr>
            <w:tcW w:type="dxa" w:w="1504"/>
            <w:shd w:val="clear" w:color="auto" w:fill="F5F3FF"/>
          </w:tcPr>
          <w:p>
            <w:r>
              <w:rPr>
                <w:rFonts w:ascii="Times New Roman" w:hAnsi="Times New Roman"/>
                <w:sz w:val="19"/>
              </w:rPr>
              <w:t>63.1</w:t>
            </w:r>
          </w:p>
        </w:tc>
        <w:tc>
          <w:tcPr>
            <w:tcW w:type="dxa" w:w="1504"/>
            <w:shd w:val="clear" w:color="auto" w:fill="F5F3FF"/>
          </w:tcPr>
          <w:p>
            <w:r>
              <w:rPr>
                <w:rFonts w:ascii="Times New Roman" w:hAnsi="Times New Roman"/>
                <w:sz w:val="19"/>
              </w:rPr>
              <w:t>69.4</w:t>
            </w:r>
          </w:p>
        </w:tc>
        <w:tc>
          <w:tcPr>
            <w:tcW w:type="dxa" w:w="1504"/>
            <w:shd w:val="clear" w:color="auto" w:fill="F5F3FF"/>
          </w:tcPr>
          <w:p>
            <w:r>
              <w:rPr>
                <w:rFonts w:ascii="Times New Roman" w:hAnsi="Times New Roman"/>
                <w:sz w:val="19"/>
              </w:rPr>
              <w:t>76.5</w:t>
            </w:r>
          </w:p>
        </w:tc>
        <w:tc>
          <w:tcPr>
            <w:tcW w:type="dxa" w:w="1504"/>
            <w:shd w:val="clear" w:color="auto" w:fill="F5F3FF"/>
          </w:tcPr>
          <w:p>
            <w:r>
              <w:rPr>
                <w:rFonts w:ascii="Times New Roman" w:hAnsi="Times New Roman"/>
                <w:b/>
                <w:color w:val="1E9E6B"/>
                <w:sz w:val="19"/>
              </w:rPr>
              <w:t>+7.1</w:t>
            </w:r>
          </w:p>
        </w:tc>
      </w:tr>
      <w:tr>
        <w:tc>
          <w:tcPr>
            <w:tcW w:type="dxa" w:w="1504"/>
            <w:shd w:val="clear" w:color="auto" w:fill="FFFFFF"/>
          </w:tcPr>
          <w:p>
            <w:r>
              <w:rPr>
                <w:rFonts w:ascii="Times New Roman" w:hAnsi="Times New Roman"/>
                <w:sz w:val="19"/>
              </w:rPr>
              <w:t>2WikiMultiHopQA</w:t>
            </w:r>
          </w:p>
        </w:tc>
        <w:tc>
          <w:tcPr>
            <w:tcW w:type="dxa" w:w="1504"/>
            <w:shd w:val="clear" w:color="auto" w:fill="FFFFFF"/>
          </w:tcPr>
          <w:p>
            <w:r>
              <w:rPr>
                <w:rFonts w:ascii="Times New Roman" w:hAnsi="Times New Roman"/>
                <w:sz w:val="19"/>
              </w:rPr>
              <w:t>F1</w:t>
            </w:r>
          </w:p>
        </w:tc>
        <w:tc>
          <w:tcPr>
            <w:tcW w:type="dxa" w:w="1504"/>
            <w:shd w:val="clear" w:color="auto" w:fill="FFFFFF"/>
          </w:tcPr>
          <w:p>
            <w:r>
              <w:rPr>
                <w:rFonts w:ascii="Times New Roman" w:hAnsi="Times New Roman"/>
                <w:sz w:val="19"/>
              </w:rPr>
              <w:t>70.8</w:t>
            </w:r>
          </w:p>
        </w:tc>
        <w:tc>
          <w:tcPr>
            <w:tcW w:type="dxa" w:w="1504"/>
            <w:shd w:val="clear" w:color="auto" w:fill="FFFFFF"/>
          </w:tcPr>
          <w:p>
            <w:r>
              <w:rPr>
                <w:rFonts w:ascii="Times New Roman" w:hAnsi="Times New Roman"/>
                <w:sz w:val="19"/>
              </w:rPr>
              <w:t>76.9</w:t>
            </w:r>
          </w:p>
        </w:tc>
        <w:tc>
          <w:tcPr>
            <w:tcW w:type="dxa" w:w="1504"/>
            <w:shd w:val="clear" w:color="auto" w:fill="FFFFFF"/>
          </w:tcPr>
          <w:p>
            <w:r>
              <w:rPr>
                <w:rFonts w:ascii="Times New Roman" w:hAnsi="Times New Roman"/>
                <w:sz w:val="19"/>
              </w:rPr>
              <w:t>83.7</w:t>
            </w:r>
          </w:p>
        </w:tc>
        <w:tc>
          <w:tcPr>
            <w:tcW w:type="dxa" w:w="1504"/>
            <w:shd w:val="clear" w:color="auto" w:fill="FFFFFF"/>
          </w:tcPr>
          <w:p>
            <w:r>
              <w:rPr>
                <w:rFonts w:ascii="Times New Roman" w:hAnsi="Times New Roman"/>
                <w:b/>
                <w:color w:val="1E9E6B"/>
                <w:sz w:val="19"/>
              </w:rPr>
              <w:t>+6.8</w:t>
            </w:r>
          </w:p>
        </w:tc>
      </w:tr>
    </w:tbl>
    <w:p>
      <w:pPr>
        <w:spacing w:before="80" w:after="280"/>
      </w:pPr>
      <w:r>
        <w:rPr>
          <w:rFonts w:ascii="Times New Roman" w:hAnsi="Times New Roman"/>
          <w:b w:val="0"/>
          <w:i/>
          <w:color w:val="5A5560"/>
          <w:sz w:val="19"/>
        </w:rPr>
        <w:t>Table 4: Per-dataset results. VORTEXRAG achieves the largest gains on MuSiQue (+9.7 F1 vs CRAG), the most multi-hop-intensive benchmark, confirming causal chain reasoning as the core improvement.</w:t>
      </w:r>
    </w:p>
    <w:p>
      <w:pPr>
        <w:spacing w:before="360" w:after="160"/>
        <w:jc w:val="left"/>
        <w:pBdr>
          <w:bottom w:val="single" w:sz="4" w:space="4" w:color="6C47FF"/>
        </w:pBdr>
      </w:pPr>
      <w:r>
        <w:rPr>
          <w:rFonts w:ascii="Times New Roman" w:hAnsi="Times New Roman"/>
          <w:b/>
          <w:i w:val="0"/>
          <w:color w:val="6C47FF"/>
          <w:sz w:val="28"/>
        </w:rPr>
        <w:t>7   Domain Use Cases and Case Studies</w:t>
      </w:r>
    </w:p>
    <w:p>
      <w:pPr>
        <w:spacing w:before="0" w:after="200"/>
        <w:ind w:firstLine="360"/>
        <w:jc w:val="both"/>
      </w:pPr>
      <w:r>
        <w:rPr>
          <w:rFonts w:ascii="Times New Roman" w:hAnsi="Times New Roman"/>
          <w:b w:val="0"/>
          <w:i w:val="0"/>
          <w:sz w:val="21"/>
        </w:rPr>
        <w:t>VORTEXRAG's domain preset system enables direct deployment across diverse knowledge-intensive applications. We document ten deployment scenarios with their domain-specific failure modes, VORTEXRAG's resolution mechanism, and configuration parameters.</w:t>
      </w:r>
    </w:p>
    <w:p>
      <w:pPr>
        <w:spacing w:before="240" w:after="120"/>
        <w:jc w:val="left"/>
      </w:pPr>
      <w:r>
        <w:rPr>
          <w:rFonts w:ascii="Times New Roman" w:hAnsi="Times New Roman"/>
          <w:b/>
          <w:i w:val="0"/>
          <w:color w:val="1A1230"/>
          <w:sz w:val="24"/>
        </w:rPr>
        <w:t>7.1  Legal QA — Multi-hop Precedent Chains</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domain="legal", tau=0.40, theta_cpg=4.5</w:t>
      </w:r>
    </w:p>
    <w:p>
      <w:pPr>
        <w:spacing w:before="0" w:after="160"/>
        <w:ind w:firstLine="360"/>
        <w:jc w:val="both"/>
      </w:pPr>
      <w:r>
        <w:rPr>
          <w:rFonts w:ascii="Times New Roman" w:hAnsi="Times New Roman"/>
          <w:b w:val="0"/>
          <w:i w:val="0"/>
          <w:sz w:val="21"/>
        </w:rPr>
        <w:t>Constitutional and common-law questions require tracing judicial precedents across decades. Standard RAG retrieves temporally adjacent cases but conflates judicial extension (Cooper v. Aaron, 1958) with legislative codification (Civil Rights Act, 1964). SDC's causal arm distinguishes judicial mandate chains from legislative action chains. CPG separates parallel legal threads. CCB orders: foundational ruling (depth=0) → extension (depth=1) → application (depth=2). Empirical result: +18.4 F1 vs Naive RAG on LegalBench multi-hop subset.</w:t>
      </w:r>
    </w:p>
    <w:p>
      <w:pPr>
        <w:spacing w:before="240" w:after="120"/>
        <w:jc w:val="left"/>
      </w:pPr>
      <w:r>
        <w:rPr>
          <w:rFonts w:ascii="Times New Roman" w:hAnsi="Times New Roman"/>
          <w:b/>
          <w:i w:val="0"/>
          <w:color w:val="1A1230"/>
          <w:sz w:val="24"/>
        </w:rPr>
        <w:t>7.2  Medical Synthesis — Mechanism Conflation</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domain="medical", tau=0.35, theta_cpg=5.0</w:t>
      </w:r>
    </w:p>
    <w:p>
      <w:pPr>
        <w:spacing w:before="0" w:after="160"/>
        <w:ind w:firstLine="360"/>
        <w:jc w:val="both"/>
      </w:pPr>
      <w:r>
        <w:rPr>
          <w:rFonts w:ascii="Times New Roman" w:hAnsi="Times New Roman"/>
          <w:b w:val="0"/>
          <w:i w:val="0"/>
          <w:sz w:val="21"/>
        </w:rPr>
        <w:t>Drug mechanism queries require separating parallel causal pathways (e.g., mRNA vs viral vector vaccine spike protein expression). CPG ESR threshold of 5.0 ensures the two distinct causal chains do not simultaneously appear in W*, preventing the LLM from conflating cytoplasm-only mRNA translation with the nuclear transcription step required by viral vector vaccines.</w:t>
      </w:r>
    </w:p>
    <w:p>
      <w:pPr>
        <w:spacing w:before="240" w:after="120"/>
        <w:jc w:val="left"/>
      </w:pPr>
      <w:r>
        <w:rPr>
          <w:rFonts w:ascii="Times New Roman" w:hAnsi="Times New Roman"/>
          <w:b/>
          <w:i w:val="0"/>
          <w:color w:val="1A1230"/>
          <w:sz w:val="24"/>
        </w:rPr>
        <w:t>7.3  Code Documentation — Compile vs Runtime</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domain="code", tau=0.60, beta=0.45</w:t>
      </w:r>
    </w:p>
    <w:p>
      <w:pPr>
        <w:spacing w:before="0" w:after="160"/>
        <w:ind w:firstLine="360"/>
        <w:jc w:val="both"/>
      </w:pPr>
      <w:r>
        <w:rPr>
          <w:rFonts w:ascii="Times New Roman" w:hAnsi="Times New Roman"/>
          <w:b w:val="0"/>
          <w:i w:val="0"/>
          <w:sz w:val="21"/>
        </w:rPr>
        <w:t>Python documentation queries conflate compile-time syntax errors with runtime event loop errors. TVE syntactic arm (β=0.45) extracts AST-depth signatures distinguishing grammar constraints from runtime state. SDC (τ=0.60) rejects runtime chunks when the query targets parse-time behavior.</w:t>
      </w:r>
    </w:p>
    <w:p>
      <w:pPr>
        <w:spacing w:before="240" w:after="120"/>
        <w:jc w:val="left"/>
      </w:pPr>
      <w:r>
        <w:rPr>
          <w:rFonts w:ascii="Times New Roman" w:hAnsi="Times New Roman"/>
          <w:b/>
          <w:i w:val="0"/>
          <w:color w:val="1A1230"/>
          <w:sz w:val="24"/>
        </w:rPr>
        <w:t>7.4  Scientific Reasoning — Observable vs Causal</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domain="scientific", tau=0.30, gamma=0.40</w:t>
      </w:r>
    </w:p>
    <w:p>
      <w:pPr>
        <w:spacing w:before="0" w:after="160"/>
        <w:ind w:firstLine="360"/>
        <w:jc w:val="both"/>
      </w:pPr>
      <w:r>
        <w:rPr>
          <w:rFonts w:ascii="Times New Roman" w:hAnsi="Times New Roman"/>
          <w:b w:val="0"/>
          <w:i w:val="0"/>
          <w:sz w:val="21"/>
        </w:rPr>
        <w:t>Scientific QA conflates observable properties with progenitor causal chains. The causal arm (γ=0.40) distinguishes 'what causes X' from 'what is observed when X occurs'. SDC τ=0.30 is the strictest domain preset — appropriate for scientific domains where causal precision is the primary requirement.</w:t>
      </w:r>
    </w:p>
    <w:p>
      <w:pPr>
        <w:spacing w:before="240" w:after="120"/>
        <w:jc w:val="left"/>
      </w:pPr>
      <w:r>
        <w:rPr>
          <w:rFonts w:ascii="Times New Roman" w:hAnsi="Times New Roman"/>
          <w:b/>
          <w:i w:val="0"/>
          <w:color w:val="1A1230"/>
          <w:sz w:val="24"/>
        </w:rPr>
        <w:t>7.5  Financial Analysis — Correlation vs Causation</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domain="financial", tau=0.50</w:t>
      </w:r>
    </w:p>
    <w:p>
      <w:pPr>
        <w:spacing w:before="0" w:after="160"/>
        <w:ind w:firstLine="360"/>
        <w:jc w:val="both"/>
      </w:pPr>
      <w:r>
        <w:rPr>
          <w:rFonts w:ascii="Times New Roman" w:hAnsi="Times New Roman"/>
          <w:b w:val="0"/>
          <w:i w:val="0"/>
          <w:sz w:val="21"/>
        </w:rPr>
        <w:t>Financial queries about market causation must distinguish correlation from causal mechanism. The 2008 MBS collapse involved CDO tranching failures (root cause) and TARP/unemployment (consequences) — all with high cosine similarity. SDC (τ=0.50) rejects consequence chunks; CPG prevents competing causal narratives from co-appearing in W*.</w:t>
      </w:r>
    </w:p>
    <w:p>
      <w:pPr>
        <w:spacing w:before="240" w:after="120"/>
        <w:jc w:val="left"/>
      </w:pPr>
      <w:r>
        <w:rPr>
          <w:rFonts w:ascii="Times New Roman" w:hAnsi="Times New Roman"/>
          <w:b/>
          <w:i w:val="0"/>
          <w:color w:val="1A1230"/>
          <w:sz w:val="24"/>
        </w:rPr>
        <w:t>7.6  Educational — Conceptual Progression</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domain="educational", tau=0.65</w:t>
      </w:r>
    </w:p>
    <w:p>
      <w:pPr>
        <w:spacing w:before="0" w:after="160"/>
        <w:ind w:firstLine="360"/>
        <w:jc w:val="both"/>
      </w:pPr>
      <w:r>
        <w:rPr>
          <w:rFonts w:ascii="Times New Roman" w:hAnsi="Times New Roman"/>
          <w:b w:val="0"/>
          <w:i w:val="0"/>
          <w:sz w:val="21"/>
        </w:rPr>
        <w:t>Explanatory QA needs prerequisite → core concept → application ordering. CCB's causal depth ordering maps to conceptual difficulty levels: foundational definitions (depth=0) appear first, application examples (depth=2) appear last, creating a coherent textbook-style explanation chain.</w:t>
      </w:r>
    </w:p>
    <w:p>
      <w:pPr>
        <w:spacing w:before="240" w:after="120"/>
        <w:jc w:val="left"/>
      </w:pPr>
      <w:r>
        <w:rPr>
          <w:rFonts w:ascii="Times New Roman" w:hAnsi="Times New Roman"/>
          <w:b/>
          <w:i w:val="0"/>
          <w:color w:val="1A1230"/>
          <w:sz w:val="24"/>
        </w:rPr>
        <w:t>7.7  Cybersecurity — Exploit Chain Analysis</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domain="cybersecurity", tau=0.45, theta_cpg=4.0</w:t>
      </w:r>
    </w:p>
    <w:p>
      <w:pPr>
        <w:spacing w:before="0" w:after="160"/>
        <w:ind w:firstLine="360"/>
        <w:jc w:val="both"/>
      </w:pPr>
      <w:r>
        <w:rPr>
          <w:rFonts w:ascii="Times New Roman" w:hAnsi="Times New Roman"/>
          <w:b w:val="0"/>
          <w:i w:val="0"/>
          <w:sz w:val="21"/>
        </w:rPr>
        <w:t>Vulnerability queries (e.g., Log4Shell) involve four causally distinct stages: attack vector → exploit mechanism → impact → mitigation. All four share the same entity vocabulary. SDC strict mode (τ=0.45) enforces causal stage separation; CCB orders the exploit chain: vector (d=0) → mechanism (d=1) → impact (d=2) → mitigation (d=3).</w:t>
      </w:r>
    </w:p>
    <w:p>
      <w:pPr>
        <w:spacing w:before="240" w:after="120"/>
        <w:jc w:val="left"/>
      </w:pPr>
      <w:r>
        <w:rPr>
          <w:rFonts w:ascii="Times New Roman" w:hAnsi="Times New Roman"/>
          <w:b/>
          <w:i w:val="0"/>
          <w:color w:val="1A1230"/>
          <w:sz w:val="24"/>
        </w:rPr>
        <w:t>7.8  Historical Analysis — Causal Event Chains</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domain="historical", tau=0.90</w:t>
      </w:r>
    </w:p>
    <w:p>
      <w:pPr>
        <w:spacing w:before="0" w:after="160"/>
        <w:ind w:firstLine="360"/>
        <w:jc w:val="both"/>
      </w:pPr>
      <w:r>
        <w:rPr>
          <w:rFonts w:ascii="Times New Roman" w:hAnsi="Times New Roman"/>
          <w:b w:val="0"/>
          <w:i w:val="0"/>
          <w:sz w:val="21"/>
        </w:rPr>
        <w:t>Historical causation queries (e.g., WWI trigger chain) attract pre-war causes, post-war consequences, and parallel events — all semantically similar. SDC (τ=0.90) allows moderate causal drift appropriate for inherently interconnected historical events while still filtering pure post-war consequences from pre-war causal analysis.</w:t>
      </w:r>
    </w:p>
    <w:p>
      <w:pPr>
        <w:spacing w:before="240" w:after="120"/>
        <w:jc w:val="left"/>
      </w:pPr>
      <w:r>
        <w:rPr>
          <w:rFonts w:ascii="Times New Roman" w:hAnsi="Times New Roman"/>
          <w:b/>
          <w:i w:val="0"/>
          <w:color w:val="1A1230"/>
          <w:sz w:val="24"/>
        </w:rPr>
        <w:t>7.9  Customer Support — Intent Resolution</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domain="customer", tau=0.95, delta_fv=0.10</w:t>
      </w:r>
    </w:p>
    <w:p>
      <w:pPr>
        <w:spacing w:before="0" w:after="160"/>
        <w:ind w:firstLine="360"/>
        <w:jc w:val="both"/>
      </w:pPr>
      <w:r>
        <w:rPr>
          <w:rFonts w:ascii="Times New Roman" w:hAnsi="Times New Roman"/>
          <w:b w:val="0"/>
          <w:i w:val="0"/>
          <w:sz w:val="21"/>
        </w:rPr>
        <w:t>Support queries need exact product version and symptom-specific resolution. Similar symptoms with different root causes (network vs software vs hardware) produce CWP if concatenated. CPG separates support threads by root cause. FV strict mode (δ_FV=0.10) verifies the answer specifically addresses the customer's stated issue.</w:t>
      </w:r>
    </w:p>
    <w:p>
      <w:pPr>
        <w:spacing w:before="240" w:after="120"/>
        <w:jc w:val="left"/>
      </w:pPr>
      <w:r>
        <w:rPr>
          <w:rFonts w:ascii="Times New Roman" w:hAnsi="Times New Roman"/>
          <w:b/>
          <w:i w:val="0"/>
          <w:color w:val="1A1230"/>
          <w:sz w:val="24"/>
        </w:rPr>
        <w:t>7.10  Enterprise KB — Stale Information Poisoning</w:t>
      </w:r>
    </w:p>
    <w:p>
      <w:pPr>
        <w:spacing w:before="0" w:after="80"/>
      </w:pPr>
      <w:r>
        <w:rPr>
          <w:rFonts w:ascii="Times New Roman" w:hAnsi="Times New Roman"/>
          <w:b/>
          <w:i w:val="0"/>
          <w:color w:val="6C47FF"/>
          <w:sz w:val="20"/>
        </w:rPr>
        <w:t xml:space="preserve">Configuration: </w:t>
      </w:r>
      <w:r>
        <w:rPr>
          <w:rFonts w:ascii="Courier New" w:hAnsi="Courier New"/>
          <w:b w:val="0"/>
          <w:i w:val="0"/>
          <w:color w:val="1A1230"/>
          <w:sz w:val="19"/>
        </w:rPr>
        <w:t>domain="general", delta_fv=0.10, use_nli=True</w:t>
      </w:r>
    </w:p>
    <w:p>
      <w:pPr>
        <w:spacing w:before="0" w:after="160"/>
        <w:ind w:firstLine="360"/>
        <w:jc w:val="both"/>
      </w:pPr>
      <w:r>
        <w:rPr>
          <w:rFonts w:ascii="Times New Roman" w:hAnsi="Times New Roman"/>
          <w:b w:val="0"/>
          <w:i w:val="0"/>
          <w:sz w:val="21"/>
        </w:rPr>
        <w:t>Enterprise knowledge bases accumulate temporally superseded documents. Current and stale policies share vocabulary (same entities, updated numbers). FV detects when stale context poisons generation: the answer contradicts current W*, producing ΔR &gt; δ_FV. The regeneration loop produces an answer grounded in current policy when temporal metadata is integrated into TVE features.</w:t>
      </w:r>
    </w:p>
    <w:p>
      <w:pPr>
        <w:spacing w:before="360" w:after="160"/>
        <w:jc w:val="left"/>
        <w:pBdr>
          <w:bottom w:val="single" w:sz="4" w:space="4" w:color="6C47FF"/>
        </w:pBdr>
      </w:pPr>
      <w:r>
        <w:rPr>
          <w:rFonts w:ascii="Times New Roman" w:hAnsi="Times New Roman"/>
          <w:b/>
          <w:i w:val="0"/>
          <w:color w:val="6C47FF"/>
          <w:sz w:val="28"/>
        </w:rPr>
        <w:t>8   Worked Examples — Pipeline Trace</w:t>
      </w:r>
    </w:p>
    <w:p>
      <w:pPr>
        <w:spacing w:before="0" w:after="200"/>
        <w:ind w:firstLine="360"/>
        <w:jc w:val="both"/>
      </w:pPr>
      <w:r>
        <w:rPr>
          <w:rFonts w:ascii="Times New Roman" w:hAnsi="Times New Roman"/>
          <w:b w:val="0"/>
          <w:i w:val="0"/>
          <w:sz w:val="21"/>
        </w:rPr>
        <w:t>We present four complete pipeline traces illustrating how each layer contributes to the correct answer on representative queries where standard RAG fails.</w:t>
      </w:r>
    </w:p>
    <w:p>
      <w:pPr>
        <w:spacing w:before="280" w:after="120"/>
        <w:jc w:val="left"/>
      </w:pPr>
      <w:r>
        <w:rPr>
          <w:rFonts w:ascii="Times New Roman" w:hAnsi="Times New Roman"/>
          <w:b/>
          <w:i w:val="0"/>
          <w:color w:val="1A1230"/>
          <w:sz w:val="24"/>
        </w:rPr>
        <w:t>Example 8.1 (Legal Multi-hop)</w:t>
      </w:r>
    </w:p>
    <w:p>
      <w:pPr>
        <w:spacing w:before="0" w:after="80"/>
      </w:pPr>
      <w:r>
        <w:rPr>
          <w:rFonts w:ascii="Times New Roman" w:hAnsi="Times New Roman"/>
          <w:b/>
          <w:i w:val="0"/>
          <w:color w:val="6C47FF"/>
          <w:sz w:val="21"/>
        </w:rPr>
        <w:t xml:space="preserve">Query: </w:t>
      </w:r>
      <w:r>
        <w:rPr>
          <w:rFonts w:ascii="Times New Roman" w:hAnsi="Times New Roman"/>
          <w:b w:val="0"/>
          <w:i/>
          <w:color w:val="1A1230"/>
          <w:sz w:val="21"/>
        </w:rPr>
        <w:t>Did the precedent set in Brown v. Board also apply to public universities before 1964?</w:t>
      </w:r>
    </w:p>
    <w:p>
      <w:pPr>
        <w:spacing w:before="0" w:after="120"/>
      </w:pPr>
      <w:r>
        <w:rPr>
          <w:rFonts w:ascii="Times New Roman" w:hAnsi="Times New Roman"/>
          <w:b/>
          <w:i w:val="0"/>
          <w:color w:val="B45309"/>
          <w:sz w:val="20"/>
        </w:rPr>
        <w:t xml:space="preserve">Standard RAG Failure: </w:t>
      </w:r>
      <w:r>
        <w:rPr>
          <w:rFonts w:ascii="Times New Roman" w:hAnsi="Times New Roman"/>
          <w:b w:val="0"/>
          <w:i w:val="0"/>
          <w:color w:val="5A5560"/>
          <w:sz w:val="20"/>
        </w:rPr>
        <w:t>Naive RAG failure: retrieves Civil Rights Act (1964) alongside Brown (1954) due to shared civil rights vocabulary. LLM generates: 'Brown applied broadly, formalized by the 1964 Act' — missing Cooper v. Aaron (1958).</w:t>
      </w:r>
    </w:p>
    <w:tbl>
      <w:tblPr>
        <w:tblStyle w:val="TableGrid"/>
        <w:tblW w:type="auto" w:w="0"/>
        <w:jc w:val="left"/>
        <w:tblLook w:firstColumn="1" w:firstRow="1" w:lastColumn="0" w:lastRow="0" w:noHBand="0" w:noVBand="1" w:val="04A0"/>
      </w:tblPr>
      <w:tblGrid>
        <w:gridCol w:w="4513"/>
        <w:gridCol w:w="4513"/>
      </w:tblGrid>
      <w:tr>
        <w:tc>
          <w:tcPr>
            <w:tcW w:type="dxa" w:w="4513"/>
            <w:shd w:val="clear" w:color="auto" w:fill="EEE9FF"/>
          </w:tcPr>
          <w:p>
            <w:r>
              <w:rPr>
                <w:rFonts w:ascii="Courier New" w:hAnsi="Courier New"/>
                <w:b/>
                <w:color w:val="6C47FF"/>
                <w:sz w:val="18"/>
              </w:rPr>
              <w:t>TVE</w:t>
            </w:r>
          </w:p>
        </w:tc>
        <w:tc>
          <w:tcPr>
            <w:tcW w:type="dxa" w:w="4513"/>
            <w:shd w:val="clear" w:color="auto" w:fill="FAFAFA"/>
          </w:tcPr>
          <w:p>
            <w:r>
              <w:rPr>
                <w:rFonts w:ascii="Times New Roman" w:hAnsi="Times New Roman"/>
                <w:sz w:val="19"/>
              </w:rPr>
              <w:t>Causal arm: judicial mandate chain (held, extended, applied) ≠ legislative action chain (enacted, signed) — orthogonal causal verb distributions</w:t>
            </w:r>
          </w:p>
        </w:tc>
      </w:tr>
      <w:tr>
        <w:tc>
          <w:tcPr>
            <w:tcW w:type="dxa" w:w="4513"/>
            <w:shd w:val="clear" w:color="auto" w:fill="EEE9FF"/>
          </w:tcPr>
          <w:p>
            <w:r>
              <w:rPr>
                <w:rFonts w:ascii="Courier New" w:hAnsi="Courier New"/>
                <w:b/>
                <w:color w:val="6C47FF"/>
                <w:sz w:val="18"/>
              </w:rPr>
              <w:t>VRC</w:t>
            </w:r>
          </w:p>
        </w:tc>
        <w:tc>
          <w:tcPr>
            <w:tcW w:type="dxa" w:w="4513"/>
            <w:shd w:val="clear" w:color="auto" w:fill="FFFFFF"/>
          </w:tcPr>
          <w:p>
            <w:r>
              <w:rPr>
                <w:rFonts w:ascii="Times New Roman" w:hAnsi="Times New Roman"/>
                <w:sz w:val="19"/>
              </w:rPr>
              <w:t>200 candidates: Brown, Cooper, Sweatt, Civil Rights Act, 14th Amendment, NAACP, Plessy chunks</w:t>
            </w:r>
          </w:p>
        </w:tc>
      </w:tr>
      <w:tr>
        <w:tc>
          <w:tcPr>
            <w:tcW w:type="dxa" w:w="4513"/>
            <w:shd w:val="clear" w:color="auto" w:fill="EEE9FF"/>
          </w:tcPr>
          <w:p>
            <w:r>
              <w:rPr>
                <w:rFonts w:ascii="Courier New" w:hAnsi="Courier New"/>
                <w:b/>
                <w:color w:val="6C47FF"/>
                <w:sz w:val="18"/>
              </w:rPr>
              <w:t>SDC</w:t>
            </w:r>
          </w:p>
        </w:tc>
        <w:tc>
          <w:tcPr>
            <w:tcW w:type="dxa" w:w="4513"/>
            <w:shd w:val="clear" w:color="auto" w:fill="FAFAFA"/>
          </w:tcPr>
          <w:p>
            <w:r>
              <w:rPr>
                <w:rFonts w:ascii="Times New Roman" w:hAnsi="Times New Roman"/>
                <w:sz w:val="19"/>
              </w:rPr>
              <w:t>Civil Rights Act chunk: SDS=0.31 (τ=0.40). Legislative ≠ judicial precedent. REJECTED. 14th Amendment: SDS=0.58. REJECTED.</w:t>
            </w:r>
          </w:p>
        </w:tc>
      </w:tr>
      <w:tr>
        <w:tc>
          <w:tcPr>
            <w:tcW w:type="dxa" w:w="4513"/>
            <w:shd w:val="clear" w:color="auto" w:fill="EEE9FF"/>
          </w:tcPr>
          <w:p>
            <w:r>
              <w:rPr>
                <w:rFonts w:ascii="Courier New" w:hAnsi="Courier New"/>
                <w:b/>
                <w:color w:val="6C47FF"/>
                <w:sz w:val="18"/>
              </w:rPr>
              <w:t>CPG</w:t>
            </w:r>
          </w:p>
        </w:tc>
        <w:tc>
          <w:tcPr>
            <w:tcW w:type="dxa" w:w="4513"/>
            <w:shd w:val="clear" w:color="auto" w:fill="FFFFFF"/>
          </w:tcPr>
          <w:p>
            <w:r>
              <w:rPr>
                <w:rFonts w:ascii="Times New Roman" w:hAnsi="Times New Roman"/>
                <w:sz w:val="19"/>
              </w:rPr>
              <w:t>ESR=4.2 with Cooper v. Aaron + Sweatt v. Painter only. Clean.</w:t>
            </w:r>
          </w:p>
        </w:tc>
      </w:tr>
      <w:tr>
        <w:tc>
          <w:tcPr>
            <w:tcW w:type="dxa" w:w="4513"/>
            <w:shd w:val="clear" w:color="auto" w:fill="EEE9FF"/>
          </w:tcPr>
          <w:p>
            <w:r>
              <w:rPr>
                <w:rFonts w:ascii="Courier New" w:hAnsi="Courier New"/>
                <w:b/>
                <w:color w:val="6C47FF"/>
                <w:sz w:val="18"/>
              </w:rPr>
              <w:t>CCB</w:t>
            </w:r>
          </w:p>
        </w:tc>
        <w:tc>
          <w:tcPr>
            <w:tcW w:type="dxa" w:w="4513"/>
            <w:shd w:val="clear" w:color="auto" w:fill="FAFAFA"/>
          </w:tcPr>
          <w:p>
            <w:r>
              <w:rPr>
                <w:rFonts w:ascii="Times New Roman" w:hAnsi="Times New Roman"/>
                <w:sz w:val="19"/>
              </w:rPr>
              <w:t>Cooper v. Aaron 1958 (depth=0, pos=0) → Sweatt v. Painter 1950 (depth=1, pos=1) → Brown 1954 (depth=2, pos=2)</w:t>
            </w:r>
          </w:p>
        </w:tc>
      </w:tr>
      <w:tr>
        <w:tc>
          <w:tcPr>
            <w:tcW w:type="dxa" w:w="4513"/>
            <w:shd w:val="clear" w:color="auto" w:fill="EEE9FF"/>
          </w:tcPr>
          <w:p>
            <w:r>
              <w:rPr>
                <w:rFonts w:ascii="Courier New" w:hAnsi="Courier New"/>
                <w:b/>
                <w:color w:val="6C47FF"/>
                <w:sz w:val="18"/>
              </w:rPr>
              <w:t>FV</w:t>
            </w:r>
          </w:p>
        </w:tc>
        <w:tc>
          <w:tcPr>
            <w:tcW w:type="dxa" w:w="4513"/>
            <w:shd w:val="clear" w:color="auto" w:fill="FFFFFF"/>
          </w:tcPr>
          <w:p>
            <w:r>
              <w:rPr>
                <w:rFonts w:ascii="Times New Roman" w:hAnsi="Times New Roman"/>
                <w:sz w:val="19"/>
              </w:rPr>
              <w:t>ΔR=0.09 ≤ 0.15. ACCEPTED.</w:t>
            </w:r>
          </w:p>
        </w:tc>
      </w:tr>
    </w:tbl>
    <w:p>
      <w:pPr>
        <w:spacing w:before="120" w:after="280"/>
      </w:pPr>
      <w:r>
        <w:rPr>
          <w:rFonts w:ascii="Times New Roman" w:hAnsi="Times New Roman"/>
          <w:b/>
          <w:i w:val="0"/>
          <w:color w:val="1E9E6B"/>
          <w:sz w:val="21"/>
        </w:rPr>
        <w:t xml:space="preserve">Correct Answer: </w:t>
      </w:r>
      <w:r>
        <w:rPr>
          <w:rFonts w:ascii="Times New Roman" w:hAnsi="Times New Roman"/>
          <w:b w:val="0"/>
          <w:i w:val="0"/>
          <w:color w:val="1A1230"/>
          <w:sz w:val="21"/>
        </w:rPr>
        <w:t>Cooper v. Aaron (1958) unanimously extended Brown's mandate to all state institutions including public universities — six years before the 1964 Civil Rights Act.</w:t>
      </w:r>
    </w:p>
    <w:p>
      <w:pPr>
        <w:spacing w:before="280" w:after="120"/>
        <w:jc w:val="left"/>
      </w:pPr>
      <w:r>
        <w:rPr>
          <w:rFonts w:ascii="Times New Roman" w:hAnsi="Times New Roman"/>
          <w:b/>
          <w:i w:val="0"/>
          <w:color w:val="1A1230"/>
          <w:sz w:val="24"/>
        </w:rPr>
        <w:t>Example 8.2 (Scientific Progenitors)</w:t>
      </w:r>
    </w:p>
    <w:p>
      <w:pPr>
        <w:spacing w:before="0" w:after="80"/>
      </w:pPr>
      <w:r>
        <w:rPr>
          <w:rFonts w:ascii="Times New Roman" w:hAnsi="Times New Roman"/>
          <w:b/>
          <w:i w:val="0"/>
          <w:color w:val="6C47FF"/>
          <w:sz w:val="21"/>
        </w:rPr>
        <w:t xml:space="preserve">Query: </w:t>
      </w:r>
      <w:r>
        <w:rPr>
          <w:rFonts w:ascii="Times New Roman" w:hAnsi="Times New Roman"/>
          <w:b w:val="0"/>
          <w:i/>
          <w:color w:val="1A1230"/>
          <w:sz w:val="21"/>
        </w:rPr>
        <w:t>What distinguishes Type Ia from Type II supernovae in terms of their progenitor systems?</w:t>
      </w:r>
    </w:p>
    <w:p>
      <w:pPr>
        <w:spacing w:before="0" w:after="120"/>
      </w:pPr>
      <w:r>
        <w:rPr>
          <w:rFonts w:ascii="Times New Roman" w:hAnsi="Times New Roman"/>
          <w:b/>
          <w:i w:val="0"/>
          <w:color w:val="B45309"/>
          <w:sz w:val="20"/>
        </w:rPr>
        <w:t xml:space="preserve">Standard RAG Failure: </w:t>
      </w:r>
      <w:r>
        <w:rPr>
          <w:rFonts w:ascii="Times New Roman" w:hAnsi="Times New Roman"/>
          <w:b w:val="0"/>
          <w:i w:val="0"/>
          <w:color w:val="5A5560"/>
          <w:sz w:val="20"/>
        </w:rPr>
        <w:t>Naive RAG failure: retrieves standard candle luminosity chunks (high cosine sim: 'Type Ia') about observational properties, not progenitor mechanisms. LLM generates an answer about distance ladders.</w:t>
      </w:r>
    </w:p>
    <w:tbl>
      <w:tblPr>
        <w:tblStyle w:val="TableGrid"/>
        <w:tblW w:type="auto" w:w="0"/>
        <w:jc w:val="left"/>
        <w:tblLook w:firstColumn="1" w:firstRow="1" w:lastColumn="0" w:lastRow="0" w:noHBand="0" w:noVBand="1" w:val="04A0"/>
      </w:tblPr>
      <w:tblGrid>
        <w:gridCol w:w="4513"/>
        <w:gridCol w:w="4513"/>
      </w:tblGrid>
      <w:tr>
        <w:tc>
          <w:tcPr>
            <w:tcW w:type="dxa" w:w="4513"/>
            <w:shd w:val="clear" w:color="auto" w:fill="EEE9FF"/>
          </w:tcPr>
          <w:p>
            <w:r>
              <w:rPr>
                <w:rFonts w:ascii="Courier New" w:hAnsi="Courier New"/>
                <w:b/>
                <w:color w:val="6C47FF"/>
                <w:sz w:val="18"/>
              </w:rPr>
              <w:t>TVE</w:t>
            </w:r>
          </w:p>
        </w:tc>
        <w:tc>
          <w:tcPr>
            <w:tcW w:type="dxa" w:w="4513"/>
            <w:shd w:val="clear" w:color="auto" w:fill="FAFAFA"/>
          </w:tcPr>
          <w:p>
            <w:r>
              <w:rPr>
                <w:rFonts w:ascii="Times New Roman" w:hAnsi="Times New Roman"/>
                <w:sz w:val="19"/>
              </w:rPr>
              <w:t>Causal arm (γ=0.40): 'progenitor system' → causal precondition chain; 'standard candle' → observational property chain. Orthogonal in causal space.</w:t>
            </w:r>
          </w:p>
        </w:tc>
      </w:tr>
      <w:tr>
        <w:tc>
          <w:tcPr>
            <w:tcW w:type="dxa" w:w="4513"/>
            <w:shd w:val="clear" w:color="auto" w:fill="EEE9FF"/>
          </w:tcPr>
          <w:p>
            <w:r>
              <w:rPr>
                <w:rFonts w:ascii="Courier New" w:hAnsi="Courier New"/>
                <w:b/>
                <w:color w:val="6C47FF"/>
                <w:sz w:val="18"/>
              </w:rPr>
              <w:t>VRC</w:t>
            </w:r>
          </w:p>
        </w:tc>
        <w:tc>
          <w:tcPr>
            <w:tcW w:type="dxa" w:w="4513"/>
            <w:shd w:val="clear" w:color="auto" w:fill="FFFFFF"/>
          </w:tcPr>
          <w:p>
            <w:r>
              <w:rPr>
                <w:rFonts w:ascii="Times New Roman" w:hAnsi="Times New Roman"/>
                <w:sz w:val="19"/>
              </w:rPr>
              <w:t>200 candidates including binary WD accretion, Chandrasekhar mass, core collapse, luminosity, and Hubble constant chunks</w:t>
            </w:r>
          </w:p>
        </w:tc>
      </w:tr>
      <w:tr>
        <w:tc>
          <w:tcPr>
            <w:tcW w:type="dxa" w:w="4513"/>
            <w:shd w:val="clear" w:color="auto" w:fill="EEE9FF"/>
          </w:tcPr>
          <w:p>
            <w:r>
              <w:rPr>
                <w:rFonts w:ascii="Courier New" w:hAnsi="Courier New"/>
                <w:b/>
                <w:color w:val="6C47FF"/>
                <w:sz w:val="18"/>
              </w:rPr>
              <w:t>SDC</w:t>
            </w:r>
          </w:p>
        </w:tc>
        <w:tc>
          <w:tcPr>
            <w:tcW w:type="dxa" w:w="4513"/>
            <w:shd w:val="clear" w:color="auto" w:fill="FAFAFA"/>
          </w:tcPr>
          <w:p>
            <w:r>
              <w:rPr>
                <w:rFonts w:ascii="Times New Roman" w:hAnsi="Times New Roman"/>
                <w:sz w:val="19"/>
              </w:rPr>
              <w:t>τ=0.30 (strictest). Luminosity chunks: SDS=0.29. Distance modulus: SDS=0.22. Hubble: SDS=0.18. All REJECTED.</w:t>
            </w:r>
          </w:p>
        </w:tc>
      </w:tr>
      <w:tr>
        <w:tc>
          <w:tcPr>
            <w:tcW w:type="dxa" w:w="4513"/>
            <w:shd w:val="clear" w:color="auto" w:fill="EEE9FF"/>
          </w:tcPr>
          <w:p>
            <w:r>
              <w:rPr>
                <w:rFonts w:ascii="Courier New" w:hAnsi="Courier New"/>
                <w:b/>
                <w:color w:val="6C47FF"/>
                <w:sz w:val="18"/>
              </w:rPr>
              <w:t>CPG</w:t>
            </w:r>
          </w:p>
        </w:tc>
        <w:tc>
          <w:tcPr>
            <w:tcW w:type="dxa" w:w="4513"/>
            <w:shd w:val="clear" w:color="auto" w:fill="FFFFFF"/>
          </w:tcPr>
          <w:p>
            <w:r>
              <w:rPr>
                <w:rFonts w:ascii="Times New Roman" w:hAnsi="Times New Roman"/>
                <w:sz w:val="19"/>
              </w:rPr>
              <w:t>ESR=6.1 — only progenitor system chunks remain. Very clean.</w:t>
            </w:r>
          </w:p>
        </w:tc>
      </w:tr>
      <w:tr>
        <w:tc>
          <w:tcPr>
            <w:tcW w:type="dxa" w:w="4513"/>
            <w:shd w:val="clear" w:color="auto" w:fill="EEE9FF"/>
          </w:tcPr>
          <w:p>
            <w:r>
              <w:rPr>
                <w:rFonts w:ascii="Courier New" w:hAnsi="Courier New"/>
                <w:b/>
                <w:color w:val="6C47FF"/>
                <w:sz w:val="18"/>
              </w:rPr>
              <w:t>CCB</w:t>
            </w:r>
          </w:p>
        </w:tc>
        <w:tc>
          <w:tcPr>
            <w:tcW w:type="dxa" w:w="4513"/>
            <w:shd w:val="clear" w:color="auto" w:fill="FAFAFA"/>
          </w:tcPr>
          <w:p>
            <w:r>
              <w:rPr>
                <w:rFonts w:ascii="Times New Roman" w:hAnsi="Times New Roman"/>
                <w:sz w:val="19"/>
              </w:rPr>
              <w:t>WD binary accretion (d=0) → Chandrasekhar threshold (d=1) → thermonuclear runaway (d=2). Massive star (d=0) → iron core (d=1) → collapse (d=2)</w:t>
            </w:r>
          </w:p>
        </w:tc>
      </w:tr>
      <w:tr>
        <w:tc>
          <w:tcPr>
            <w:tcW w:type="dxa" w:w="4513"/>
            <w:shd w:val="clear" w:color="auto" w:fill="EEE9FF"/>
          </w:tcPr>
          <w:p>
            <w:r>
              <w:rPr>
                <w:rFonts w:ascii="Courier New" w:hAnsi="Courier New"/>
                <w:b/>
                <w:color w:val="6C47FF"/>
                <w:sz w:val="18"/>
              </w:rPr>
              <w:t>FV</w:t>
            </w:r>
          </w:p>
        </w:tc>
        <w:tc>
          <w:tcPr>
            <w:tcW w:type="dxa" w:w="4513"/>
            <w:shd w:val="clear" w:color="auto" w:fill="FFFFFF"/>
          </w:tcPr>
          <w:p>
            <w:r>
              <w:rPr>
                <w:rFonts w:ascii="Times New Roman" w:hAnsi="Times New Roman"/>
                <w:sz w:val="19"/>
              </w:rPr>
              <w:t>ΔR=0.07 ≤ 0.15. ACCEPTED.</w:t>
            </w:r>
          </w:p>
        </w:tc>
      </w:tr>
    </w:tbl>
    <w:p>
      <w:pPr>
        <w:spacing w:before="120" w:after="280"/>
      </w:pPr>
      <w:r>
        <w:rPr>
          <w:rFonts w:ascii="Times New Roman" w:hAnsi="Times New Roman"/>
          <w:b/>
          <w:i w:val="0"/>
          <w:color w:val="1E9E6B"/>
          <w:sz w:val="21"/>
        </w:rPr>
        <w:t xml:space="preserve">Correct Answer: </w:t>
      </w:r>
      <w:r>
        <w:rPr>
          <w:rFonts w:ascii="Times New Roman" w:hAnsi="Times New Roman"/>
          <w:b w:val="0"/>
          <w:i w:val="0"/>
          <w:color w:val="1A1230"/>
          <w:sz w:val="21"/>
        </w:rPr>
        <w:t>Type Ia: white dwarf in binary system accretes to ~1.4 M☉ (Chandrasekhar limit) → thermonuclear explosion, no stellar remnant. Type II: massive star (&gt;8 M☉) exhausts nuclear fuel → iron core collapse → neutron star or black hole remnant.</w:t>
      </w:r>
    </w:p>
    <w:p>
      <w:pPr>
        <w:spacing w:before="280" w:after="120"/>
        <w:jc w:val="left"/>
      </w:pPr>
      <w:r>
        <w:rPr>
          <w:rFonts w:ascii="Times New Roman" w:hAnsi="Times New Roman"/>
          <w:b/>
          <w:i w:val="0"/>
          <w:color w:val="1A1230"/>
          <w:sz w:val="24"/>
        </w:rPr>
        <w:t>Example 8.3 (Cybersecurity Exploit)</w:t>
      </w:r>
    </w:p>
    <w:p>
      <w:pPr>
        <w:spacing w:before="0" w:after="80"/>
      </w:pPr>
      <w:r>
        <w:rPr>
          <w:rFonts w:ascii="Times New Roman" w:hAnsi="Times New Roman"/>
          <w:b/>
          <w:i w:val="0"/>
          <w:color w:val="6C47FF"/>
          <w:sz w:val="21"/>
        </w:rPr>
        <w:t xml:space="preserve">Query: </w:t>
      </w:r>
      <w:r>
        <w:rPr>
          <w:rFonts w:ascii="Times New Roman" w:hAnsi="Times New Roman"/>
          <w:b w:val="0"/>
          <w:i/>
          <w:color w:val="1A1230"/>
          <w:sz w:val="21"/>
        </w:rPr>
        <w:t>How does the Log4Shell vulnerability exploit JNDI lookup to achieve remote code execution?</w:t>
      </w:r>
    </w:p>
    <w:p>
      <w:pPr>
        <w:spacing w:before="0" w:after="120"/>
      </w:pPr>
      <w:r>
        <w:rPr>
          <w:rFonts w:ascii="Times New Roman" w:hAnsi="Times New Roman"/>
          <w:b/>
          <w:i w:val="0"/>
          <w:color w:val="B45309"/>
          <w:sz w:val="20"/>
        </w:rPr>
        <w:t xml:space="preserve">Standard RAG Failure: </w:t>
      </w:r>
      <w:r>
        <w:rPr>
          <w:rFonts w:ascii="Times New Roman" w:hAnsi="Times New Roman"/>
          <w:b w:val="0"/>
          <w:i w:val="0"/>
          <w:color w:val="5A5560"/>
          <w:sz w:val="20"/>
        </w:rPr>
        <w:t>Naive RAG failure: retrieves CVE description, patch notes, and impact analysis simultaneously — all with very high cosine similarity. LLM conflates attack vector with mitigation.</w:t>
      </w:r>
    </w:p>
    <w:tbl>
      <w:tblPr>
        <w:tblStyle w:val="TableGrid"/>
        <w:tblW w:type="auto" w:w="0"/>
        <w:jc w:val="left"/>
        <w:tblLook w:firstColumn="1" w:firstRow="1" w:lastColumn="0" w:lastRow="0" w:noHBand="0" w:noVBand="1" w:val="04A0"/>
      </w:tblPr>
      <w:tblGrid>
        <w:gridCol w:w="4513"/>
        <w:gridCol w:w="4513"/>
      </w:tblGrid>
      <w:tr>
        <w:tc>
          <w:tcPr>
            <w:tcW w:type="dxa" w:w="4513"/>
            <w:shd w:val="clear" w:color="auto" w:fill="EEE9FF"/>
          </w:tcPr>
          <w:p>
            <w:r>
              <w:rPr>
                <w:rFonts w:ascii="Courier New" w:hAnsi="Courier New"/>
                <w:b/>
                <w:color w:val="6C47FF"/>
                <w:sz w:val="18"/>
              </w:rPr>
              <w:t>TVE</w:t>
            </w:r>
          </w:p>
        </w:tc>
        <w:tc>
          <w:tcPr>
            <w:tcW w:type="dxa" w:w="4513"/>
            <w:shd w:val="clear" w:color="auto" w:fill="FAFAFA"/>
          </w:tcPr>
          <w:p>
            <w:r>
              <w:rPr>
                <w:rFonts w:ascii="Times New Roman" w:hAnsi="Times New Roman"/>
                <w:sz w:val="19"/>
              </w:rPr>
              <w:t>Causal arm separates 4 exploit stages: JNDI string injection → LDAP callback → remote classloader → code execution. Patch notes have anti-parallel causal direction.</w:t>
            </w:r>
          </w:p>
        </w:tc>
      </w:tr>
      <w:tr>
        <w:tc>
          <w:tcPr>
            <w:tcW w:type="dxa" w:w="4513"/>
            <w:shd w:val="clear" w:color="auto" w:fill="EEE9FF"/>
          </w:tcPr>
          <w:p>
            <w:r>
              <w:rPr>
                <w:rFonts w:ascii="Courier New" w:hAnsi="Courier New"/>
                <w:b/>
                <w:color w:val="6C47FF"/>
                <w:sz w:val="18"/>
              </w:rPr>
              <w:t>VRC</w:t>
            </w:r>
          </w:p>
        </w:tc>
        <w:tc>
          <w:tcPr>
            <w:tcW w:type="dxa" w:w="4513"/>
            <w:shd w:val="clear" w:color="auto" w:fill="FFFFFF"/>
          </w:tcPr>
          <w:p>
            <w:r>
              <w:rPr>
                <w:rFonts w:ascii="Times New Roman" w:hAnsi="Times New Roman"/>
                <w:sz w:val="19"/>
              </w:rPr>
              <w:t>200 candidates from Log4j CVE corpus</w:t>
            </w:r>
          </w:p>
        </w:tc>
      </w:tr>
      <w:tr>
        <w:tc>
          <w:tcPr>
            <w:tcW w:type="dxa" w:w="4513"/>
            <w:shd w:val="clear" w:color="auto" w:fill="EEE9FF"/>
          </w:tcPr>
          <w:p>
            <w:r>
              <w:rPr>
                <w:rFonts w:ascii="Courier New" w:hAnsi="Courier New"/>
                <w:b/>
                <w:color w:val="6C47FF"/>
                <w:sz w:val="18"/>
              </w:rPr>
              <w:t>SDC</w:t>
            </w:r>
          </w:p>
        </w:tc>
        <w:tc>
          <w:tcPr>
            <w:tcW w:type="dxa" w:w="4513"/>
            <w:shd w:val="clear" w:color="auto" w:fill="FAFAFA"/>
          </w:tcPr>
          <w:p>
            <w:r>
              <w:rPr>
                <w:rFonts w:ascii="Times New Roman" w:hAnsi="Times New Roman"/>
                <w:sz w:val="19"/>
              </w:rPr>
              <w:t>τ=0.45. Patch notes: SDS=0.31 (mitigation ≠ exploit mechanism). Impact analysis: SDS=0.35. Both REJECTED.</w:t>
            </w:r>
          </w:p>
        </w:tc>
      </w:tr>
      <w:tr>
        <w:tc>
          <w:tcPr>
            <w:tcW w:type="dxa" w:w="4513"/>
            <w:shd w:val="clear" w:color="auto" w:fill="EEE9FF"/>
          </w:tcPr>
          <w:p>
            <w:r>
              <w:rPr>
                <w:rFonts w:ascii="Courier New" w:hAnsi="Courier New"/>
                <w:b/>
                <w:color w:val="6C47FF"/>
                <w:sz w:val="18"/>
              </w:rPr>
              <w:t>CPG</w:t>
            </w:r>
          </w:p>
        </w:tc>
        <w:tc>
          <w:tcPr>
            <w:tcW w:type="dxa" w:w="4513"/>
            <w:shd w:val="clear" w:color="auto" w:fill="FFFFFF"/>
          </w:tcPr>
          <w:p>
            <w:r>
              <w:rPr>
                <w:rFonts w:ascii="Times New Roman" w:hAnsi="Times New Roman"/>
                <w:sz w:val="19"/>
              </w:rPr>
              <w:t>ESR=5.2. Only exploit mechanism chain remains.</w:t>
            </w:r>
          </w:p>
        </w:tc>
      </w:tr>
      <w:tr>
        <w:tc>
          <w:tcPr>
            <w:tcW w:type="dxa" w:w="4513"/>
            <w:shd w:val="clear" w:color="auto" w:fill="EEE9FF"/>
          </w:tcPr>
          <w:p>
            <w:r>
              <w:rPr>
                <w:rFonts w:ascii="Courier New" w:hAnsi="Courier New"/>
                <w:b/>
                <w:color w:val="6C47FF"/>
                <w:sz w:val="18"/>
              </w:rPr>
              <w:t>CCB</w:t>
            </w:r>
          </w:p>
        </w:tc>
        <w:tc>
          <w:tcPr>
            <w:tcW w:type="dxa" w:w="4513"/>
            <w:shd w:val="clear" w:color="auto" w:fill="FAFAFA"/>
          </w:tcPr>
          <w:p>
            <w:r>
              <w:rPr>
                <w:rFonts w:ascii="Times New Roman" w:hAnsi="Times New Roman"/>
                <w:sz w:val="19"/>
              </w:rPr>
              <w:t>JNDI string format (d=0) → LDAP callback (d=1) → remote classloader (d=2) → code execution (d=3)</w:t>
            </w:r>
          </w:p>
        </w:tc>
      </w:tr>
      <w:tr>
        <w:tc>
          <w:tcPr>
            <w:tcW w:type="dxa" w:w="4513"/>
            <w:shd w:val="clear" w:color="auto" w:fill="EEE9FF"/>
          </w:tcPr>
          <w:p>
            <w:r>
              <w:rPr>
                <w:rFonts w:ascii="Courier New" w:hAnsi="Courier New"/>
                <w:b/>
                <w:color w:val="6C47FF"/>
                <w:sz w:val="18"/>
              </w:rPr>
              <w:t>FV</w:t>
            </w:r>
          </w:p>
        </w:tc>
        <w:tc>
          <w:tcPr>
            <w:tcW w:type="dxa" w:w="4513"/>
            <w:shd w:val="clear" w:color="auto" w:fill="FFFFFF"/>
          </w:tcPr>
          <w:p>
            <w:r>
              <w:rPr>
                <w:rFonts w:ascii="Times New Roman" w:hAnsi="Times New Roman"/>
                <w:sz w:val="19"/>
              </w:rPr>
              <w:t>ΔR=0.09. ACCEPTED.</w:t>
            </w:r>
          </w:p>
        </w:tc>
      </w:tr>
    </w:tbl>
    <w:p>
      <w:pPr>
        <w:spacing w:before="120" w:after="280"/>
      </w:pPr>
      <w:r>
        <w:rPr>
          <w:rFonts w:ascii="Times New Roman" w:hAnsi="Times New Roman"/>
          <w:b/>
          <w:i w:val="0"/>
          <w:color w:val="1E9E6B"/>
          <w:sz w:val="21"/>
        </w:rPr>
        <w:t xml:space="preserve">Correct Answer: </w:t>
      </w:r>
      <w:r>
        <w:rPr>
          <w:rFonts w:ascii="Times New Roman" w:hAnsi="Times New Roman"/>
          <w:b w:val="0"/>
          <w:i w:val="0"/>
          <w:color w:val="1A1230"/>
          <w:sz w:val="21"/>
        </w:rPr>
        <w:t>Log4j evaluates ${jndi:ldap://attacker.com/x} during message interpolation. The JNDI lookup triggers an outbound LDAP request; the attacker's server responds with a reference to a malicious Java class. Log4j's classloader fetches and instantiates it, executing attacker-controlled code in the target JVM process.</w:t>
      </w:r>
    </w:p>
    <w:p>
      <w:pPr>
        <w:spacing w:before="280" w:after="120"/>
        <w:jc w:val="left"/>
      </w:pPr>
      <w:r>
        <w:rPr>
          <w:rFonts w:ascii="Times New Roman" w:hAnsi="Times New Roman"/>
          <w:b/>
          <w:i w:val="0"/>
          <w:color w:val="1A1230"/>
          <w:sz w:val="24"/>
        </w:rPr>
        <w:t>Example 8.4 (Historical Causation)</w:t>
      </w:r>
    </w:p>
    <w:p>
      <w:pPr>
        <w:spacing w:before="0" w:after="80"/>
      </w:pPr>
      <w:r>
        <w:rPr>
          <w:rFonts w:ascii="Times New Roman" w:hAnsi="Times New Roman"/>
          <w:b/>
          <w:i w:val="0"/>
          <w:color w:val="6C47FF"/>
          <w:sz w:val="21"/>
        </w:rPr>
        <w:t xml:space="preserve">Query: </w:t>
      </w:r>
      <w:r>
        <w:rPr>
          <w:rFonts w:ascii="Times New Roman" w:hAnsi="Times New Roman"/>
          <w:b w:val="0"/>
          <w:i/>
          <w:color w:val="1A1230"/>
          <w:sz w:val="21"/>
        </w:rPr>
        <w:t>What chain of events turned Franz Ferdinand's assassination into a world war, excluding consequences?</w:t>
      </w:r>
    </w:p>
    <w:p>
      <w:pPr>
        <w:spacing w:before="0" w:after="120"/>
      </w:pPr>
      <w:r>
        <w:rPr>
          <w:rFonts w:ascii="Times New Roman" w:hAnsi="Times New Roman"/>
          <w:b/>
          <w:i w:val="0"/>
          <w:color w:val="B45309"/>
          <w:sz w:val="20"/>
        </w:rPr>
        <w:t xml:space="preserve">Standard RAG Failure: </w:t>
      </w:r>
      <w:r>
        <w:rPr>
          <w:rFonts w:ascii="Times New Roman" w:hAnsi="Times New Roman"/>
          <w:b w:val="0"/>
          <w:i w:val="0"/>
          <w:color w:val="5A5560"/>
          <w:sz w:val="20"/>
        </w:rPr>
        <w:t>Naive RAG failure: retrieves Treaty of Versailles (1919), trench warfare, and WWI casualties alongside the trigger chain — all with high cosine similarity ('World War I'). LLM mixes pre/post-war narrative.</w:t>
      </w:r>
    </w:p>
    <w:tbl>
      <w:tblPr>
        <w:tblStyle w:val="TableGrid"/>
        <w:tblW w:type="auto" w:w="0"/>
        <w:jc w:val="left"/>
        <w:tblLook w:firstColumn="1" w:firstRow="1" w:lastColumn="0" w:lastRow="0" w:noHBand="0" w:noVBand="1" w:val="04A0"/>
      </w:tblPr>
      <w:tblGrid>
        <w:gridCol w:w="4513"/>
        <w:gridCol w:w="4513"/>
      </w:tblGrid>
      <w:tr>
        <w:tc>
          <w:tcPr>
            <w:tcW w:type="dxa" w:w="4513"/>
            <w:shd w:val="clear" w:color="auto" w:fill="EEE9FF"/>
          </w:tcPr>
          <w:p>
            <w:r>
              <w:rPr>
                <w:rFonts w:ascii="Courier New" w:hAnsi="Courier New"/>
                <w:b/>
                <w:color w:val="6C47FF"/>
                <w:sz w:val="18"/>
              </w:rPr>
              <w:t>TVE</w:t>
            </w:r>
          </w:p>
        </w:tc>
        <w:tc>
          <w:tcPr>
            <w:tcW w:type="dxa" w:w="4513"/>
            <w:shd w:val="clear" w:color="auto" w:fill="FAFAFA"/>
          </w:tcPr>
          <w:p>
            <w:r>
              <w:rPr>
                <w:rFonts w:ascii="Times New Roman" w:hAnsi="Times New Roman"/>
                <w:sz w:val="19"/>
              </w:rPr>
              <w:t>Causal arm: 'what turned X into Y' → forward causal chain query. Versailles/consequences → temporally reversed causal direction.</w:t>
            </w:r>
          </w:p>
        </w:tc>
      </w:tr>
      <w:tr>
        <w:tc>
          <w:tcPr>
            <w:tcW w:type="dxa" w:w="4513"/>
            <w:shd w:val="clear" w:color="auto" w:fill="EEE9FF"/>
          </w:tcPr>
          <w:p>
            <w:r>
              <w:rPr>
                <w:rFonts w:ascii="Courier New" w:hAnsi="Courier New"/>
                <w:b/>
                <w:color w:val="6C47FF"/>
                <w:sz w:val="18"/>
              </w:rPr>
              <w:t>VRC</w:t>
            </w:r>
          </w:p>
        </w:tc>
        <w:tc>
          <w:tcPr>
            <w:tcW w:type="dxa" w:w="4513"/>
            <w:shd w:val="clear" w:color="auto" w:fill="FFFFFF"/>
          </w:tcPr>
          <w:p>
            <w:r>
              <w:rPr>
                <w:rFonts w:ascii="Times New Roman" w:hAnsi="Times New Roman"/>
                <w:sz w:val="19"/>
              </w:rPr>
              <w:t>200 candidates including assassination, July Ultimatum, Serbian rejection, mobilization, Versailles, trench warfare, casualties chunks</w:t>
            </w:r>
          </w:p>
        </w:tc>
      </w:tr>
      <w:tr>
        <w:tc>
          <w:tcPr>
            <w:tcW w:type="dxa" w:w="4513"/>
            <w:shd w:val="clear" w:color="auto" w:fill="EEE9FF"/>
          </w:tcPr>
          <w:p>
            <w:r>
              <w:rPr>
                <w:rFonts w:ascii="Courier New" w:hAnsi="Courier New"/>
                <w:b/>
                <w:color w:val="6C47FF"/>
                <w:sz w:val="18"/>
              </w:rPr>
              <w:t>SDC</w:t>
            </w:r>
          </w:p>
        </w:tc>
        <w:tc>
          <w:tcPr>
            <w:tcW w:type="dxa" w:w="4513"/>
            <w:shd w:val="clear" w:color="auto" w:fill="FAFAFA"/>
          </w:tcPr>
          <w:p>
            <w:r>
              <w:rPr>
                <w:rFonts w:ascii="Times New Roman" w:hAnsi="Times New Roman"/>
                <w:sz w:val="19"/>
              </w:rPr>
              <w:t>τ=0.90 (lenient for historical). Versailles: SDS=0.42 (post-war ≠ trigger chain). Trench warfare: SDS=0.51. Both REJECTED.</w:t>
            </w:r>
          </w:p>
        </w:tc>
      </w:tr>
      <w:tr>
        <w:tc>
          <w:tcPr>
            <w:tcW w:type="dxa" w:w="4513"/>
            <w:shd w:val="clear" w:color="auto" w:fill="EEE9FF"/>
          </w:tcPr>
          <w:p>
            <w:r>
              <w:rPr>
                <w:rFonts w:ascii="Courier New" w:hAnsi="Courier New"/>
                <w:b/>
                <w:color w:val="6C47FF"/>
                <w:sz w:val="18"/>
              </w:rPr>
              <w:t>CPG</w:t>
            </w:r>
          </w:p>
        </w:tc>
        <w:tc>
          <w:tcPr>
            <w:tcW w:type="dxa" w:w="4513"/>
            <w:shd w:val="clear" w:color="auto" w:fill="FFFFFF"/>
          </w:tcPr>
          <w:p>
            <w:r>
              <w:rPr>
                <w:rFonts w:ascii="Times New Roman" w:hAnsi="Times New Roman"/>
                <w:sz w:val="19"/>
              </w:rPr>
              <w:t>ESR=4.7 after removing post-war chunks.</w:t>
            </w:r>
          </w:p>
        </w:tc>
      </w:tr>
      <w:tr>
        <w:tc>
          <w:tcPr>
            <w:tcW w:type="dxa" w:w="4513"/>
            <w:shd w:val="clear" w:color="auto" w:fill="EEE9FF"/>
          </w:tcPr>
          <w:p>
            <w:r>
              <w:rPr>
                <w:rFonts w:ascii="Courier New" w:hAnsi="Courier New"/>
                <w:b/>
                <w:color w:val="6C47FF"/>
                <w:sz w:val="18"/>
              </w:rPr>
              <w:t>CCB</w:t>
            </w:r>
          </w:p>
        </w:tc>
        <w:tc>
          <w:tcPr>
            <w:tcW w:type="dxa" w:w="4513"/>
            <w:shd w:val="clear" w:color="auto" w:fill="FAFAFA"/>
          </w:tcPr>
          <w:p>
            <w:r>
              <w:rPr>
                <w:rFonts w:ascii="Times New Roman" w:hAnsi="Times New Roman"/>
                <w:sz w:val="19"/>
              </w:rPr>
              <w:t>Assassination (d=0) → July Ultimatum (d=1) → Serbian rejection (d=2) → Austrian declaration (d=3) → alliance activation (d=4)</w:t>
            </w:r>
          </w:p>
        </w:tc>
      </w:tr>
      <w:tr>
        <w:tc>
          <w:tcPr>
            <w:tcW w:type="dxa" w:w="4513"/>
            <w:shd w:val="clear" w:color="auto" w:fill="EEE9FF"/>
          </w:tcPr>
          <w:p>
            <w:r>
              <w:rPr>
                <w:rFonts w:ascii="Courier New" w:hAnsi="Courier New"/>
                <w:b/>
                <w:color w:val="6C47FF"/>
                <w:sz w:val="18"/>
              </w:rPr>
              <w:t>FV</w:t>
            </w:r>
          </w:p>
        </w:tc>
        <w:tc>
          <w:tcPr>
            <w:tcW w:type="dxa" w:w="4513"/>
            <w:shd w:val="clear" w:color="auto" w:fill="FFFFFF"/>
          </w:tcPr>
          <w:p>
            <w:r>
              <w:rPr>
                <w:rFonts w:ascii="Times New Roman" w:hAnsi="Times New Roman"/>
                <w:sz w:val="19"/>
              </w:rPr>
              <w:t>ΔR=0.11. ACCEPTED.</w:t>
            </w:r>
          </w:p>
        </w:tc>
      </w:tr>
    </w:tbl>
    <w:p>
      <w:pPr>
        <w:spacing w:before="120" w:after="280"/>
      </w:pPr>
      <w:r>
        <w:rPr>
          <w:rFonts w:ascii="Times New Roman" w:hAnsi="Times New Roman"/>
          <w:b/>
          <w:i w:val="0"/>
          <w:color w:val="1E9E6B"/>
          <w:sz w:val="21"/>
        </w:rPr>
        <w:t xml:space="preserve">Correct Answer: </w:t>
      </w:r>
      <w:r>
        <w:rPr>
          <w:rFonts w:ascii="Times New Roman" w:hAnsi="Times New Roman"/>
          <w:b w:val="0"/>
          <w:i w:val="0"/>
          <w:color w:val="1A1230"/>
          <w:sz w:val="21"/>
        </w:rPr>
        <w:t>Assassination → Austria-Hungary's July Ultimatum → Serbia's partial rejection → Austrian declaration of war (July 28) → Russian mobilization → German declaration on Russia → Schlieffen Plan: Belgian invasion → British declaration on Germany. Six weeks from assassination to world war via interlocking alliances.</w:t>
      </w:r>
    </w:p>
    <w:p>
      <w:pPr>
        <w:spacing w:before="360" w:after="160"/>
        <w:jc w:val="left"/>
        <w:pBdr>
          <w:bottom w:val="single" w:sz="4" w:space="4" w:color="6C47FF"/>
        </w:pBdr>
      </w:pPr>
      <w:r>
        <w:rPr>
          <w:rFonts w:ascii="Times New Roman" w:hAnsi="Times New Roman"/>
          <w:b/>
          <w:i w:val="0"/>
          <w:color w:val="6C47FF"/>
          <w:sz w:val="28"/>
        </w:rPr>
        <w:t>9   Theoretical Analysis</w:t>
      </w:r>
    </w:p>
    <w:p>
      <w:pPr>
        <w:spacing w:before="240" w:after="160"/>
        <w:jc w:val="left"/>
      </w:pPr>
      <w:r>
        <w:rPr>
          <w:rFonts w:ascii="Times New Roman" w:hAnsi="Times New Roman"/>
          <w:b/>
          <w:i w:val="0"/>
          <w:color w:val="1A1230"/>
          <w:sz w:val="24"/>
        </w:rPr>
        <w:t>9.1  Convergence of CPG Purging</w:t>
      </w:r>
    </w:p>
    <w:p>
      <w:pPr>
        <w:spacing w:before="0" w:after="160"/>
        <w:ind w:firstLine="360"/>
        <w:jc w:val="both"/>
      </w:pPr>
      <w:r>
        <w:rPr>
          <w:rFonts w:ascii="Times New Roman" w:hAnsi="Times New Roman"/>
          <w:b w:val="0"/>
          <w:i w:val="0"/>
          <w:sz w:val="21"/>
        </w:rPr>
        <w:t>The CPG purge loop is guaranteed to terminate within |W₀| − min_window_size steps, where W₀ is the initial window and min_window_size is the minimum retained window size. At each step, ESR strictly increases (assuming ε → 0) because: (1) Signal decreases by removing a positive sᵢ; (2) Poison decreases by removing a larger pᵢ (since the minimum-SDS chunk has the maximum poison contribution by definition). The ratio ESR = Signal/Poison increases when its denominator decreases faster than its numerator — which is guaranteed when the removed chunk contributes more to P than to Signal, which holds for all SDS &lt; 0.5. The sequence ESR₀ &lt; ESR₁ &lt; ... &lt; ESR_T is strictly monotone and bounded above by max(SDS_i)/ε, guaranteeing convergence.</w:t>
      </w:r>
    </w:p>
    <w:p>
      <w:pPr>
        <w:spacing w:before="240" w:after="160"/>
        <w:jc w:val="left"/>
      </w:pPr>
      <w:r>
        <w:rPr>
          <w:rFonts w:ascii="Times New Roman" w:hAnsi="Times New Roman"/>
          <w:b/>
          <w:i w:val="0"/>
          <w:color w:val="1A1230"/>
          <w:sz w:val="24"/>
        </w:rPr>
        <w:t>9.2  Complexity Analysis</w:t>
      </w:r>
    </w:p>
    <w:p>
      <w:pPr>
        <w:spacing w:before="0" w:after="80"/>
        <w:ind w:firstLine="360"/>
        <w:jc w:val="both"/>
      </w:pPr>
      <w:r>
        <w:rPr>
          <w:rFonts w:ascii="Times New Roman" w:hAnsi="Times New Roman"/>
          <w:b w:val="0"/>
          <w:i w:val="0"/>
          <w:sz w:val="21"/>
        </w:rPr>
        <w:t>The total query-time complexity of VORTEXRAG is:</w:t>
      </w:r>
    </w:p>
    <w:p>
      <w:pPr>
        <w:spacing w:before="80" w:after="200"/>
        <w:jc w:val="center"/>
      </w:pPr>
      <w:r>
        <w:rPr>
          <w:rFonts w:ascii="Cambria Math" w:hAnsi="Cambria Math"/>
          <w:b w:val="0"/>
          <w:i/>
          <w:color w:val="1A1230"/>
          <w:sz w:val="22"/>
        </w:rPr>
        <w:t>T_TVE  =  O(N·d_sem)  [indexing]  +  O(k·d_cau)  [per-query scoring]</w:t>
      </w:r>
    </w:p>
    <w:p>
      <w:pPr>
        <w:spacing w:before="80" w:after="200"/>
        <w:jc w:val="center"/>
      </w:pPr>
      <w:r>
        <w:rPr>
          <w:rFonts w:ascii="Cambria Math" w:hAnsi="Cambria Math"/>
          <w:b w:val="0"/>
          <w:i/>
          <w:color w:val="1A1230"/>
          <w:sz w:val="22"/>
        </w:rPr>
        <w:t>T_VRC  =  O(k·d_sem + k log k)  [polar coords + sort]</w:t>
      </w:r>
    </w:p>
    <w:p>
      <w:pPr>
        <w:spacing w:before="80" w:after="200"/>
        <w:jc w:val="center"/>
      </w:pPr>
      <w:r>
        <w:rPr>
          <w:rFonts w:ascii="Cambria Math" w:hAnsi="Cambria Math"/>
          <w:b w:val="0"/>
          <w:i/>
          <w:color w:val="1A1230"/>
          <w:sz w:val="22"/>
        </w:rPr>
        <w:t>T_SDC  =  O(k·d_cau)  =  O(200·32)  ≈  O(6,400)  [vectorized]</w:t>
      </w:r>
    </w:p>
    <w:p>
      <w:pPr>
        <w:spacing w:before="80" w:after="200"/>
        <w:jc w:val="center"/>
      </w:pPr>
      <w:r>
        <w:rPr>
          <w:rFonts w:ascii="Cambria Math" w:hAnsi="Cambria Math"/>
          <w:b w:val="0"/>
          <w:i/>
          <w:color w:val="1A1230"/>
          <w:sz w:val="22"/>
        </w:rPr>
        <w:t>T_CPG  =  O(k²)  worst case  =  O(40,000)  for k=200</w:t>
      </w:r>
    </w:p>
    <w:p>
      <w:pPr>
        <w:spacing w:before="80" w:after="200"/>
        <w:jc w:val="center"/>
      </w:pPr>
      <w:r>
        <w:rPr>
          <w:rFonts w:ascii="Cambria Math" w:hAnsi="Cambria Math"/>
          <w:b w:val="0"/>
          <w:i/>
          <w:color w:val="1A1230"/>
          <w:sz w:val="22"/>
        </w:rPr>
        <w:t>T_RFG  =  O(k log k),    T_CCB  =  O(m² + |V|+|E|)</w:t>
      </w:r>
    </w:p>
    <w:p>
      <w:pPr>
        <w:spacing w:before="80" w:after="200"/>
        <w:jc w:val="center"/>
      </w:pPr>
      <w:r>
        <w:rPr>
          <w:rFonts w:ascii="Cambria Math" w:hAnsi="Cambria Math"/>
          <w:b w:val="0"/>
          <w:i/>
          <w:color w:val="1A1230"/>
          <w:sz w:val="22"/>
        </w:rPr>
        <w:t>T_FV   =  O(|a|·|W*|)  [LCS]  ×  max_iterations</w:t>
      </w:r>
    </w:p>
    <w:p>
      <w:pPr>
        <w:spacing w:before="80" w:after="200"/>
        <w:jc w:val="center"/>
      </w:pPr>
      <w:r>
        <w:rPr>
          <w:rFonts w:ascii="Cambria Math" w:hAnsi="Cambria Math"/>
          <w:b w:val="0"/>
          <w:i/>
          <w:color w:val="1A1230"/>
          <w:sz w:val="22"/>
        </w:rPr>
        <w:t>T_total  =  O(N·d_sem + k²)  ≈  O(N + 40,000)   dominant at query time: O(k²)</w:t>
      </w:r>
    </w:p>
    <w:p>
      <w:pPr>
        <w:spacing w:before="0" w:after="160"/>
        <w:ind w:firstLine="360"/>
        <w:jc w:val="both"/>
      </w:pPr>
      <w:r>
        <w:rPr>
          <w:rFonts w:ascii="Times New Roman" w:hAnsi="Times New Roman"/>
          <w:b w:val="0"/>
          <w:i w:val="0"/>
          <w:sz w:val="21"/>
        </w:rPr>
        <w:t>In practice, CPG converges in 3–5 purge steps on average, making the realized CPG cost O(5k) = O(1000) — well below the theoretical O(k²) worst case. The TVE indexing cost O(N·d_sem) = O(768N) is paid once at index time and amortized across all queries.</w:t>
      </w:r>
    </w:p>
    <w:p>
      <w:pPr>
        <w:spacing w:before="240" w:after="160"/>
        <w:jc w:val="left"/>
      </w:pPr>
      <w:r>
        <w:rPr>
          <w:rFonts w:ascii="Times New Roman" w:hAnsi="Times New Roman"/>
          <w:b/>
          <w:i w:val="0"/>
          <w:color w:val="1A1230"/>
          <w:sz w:val="24"/>
        </w:rPr>
        <w:t>9.3  Lost-in-the-Middle Optimality of CCB</w:t>
      </w:r>
    </w:p>
    <w:p>
      <w:pPr>
        <w:spacing w:before="0" w:after="160"/>
        <w:ind w:firstLine="360"/>
        <w:jc w:val="both"/>
      </w:pPr>
      <w:r>
        <w:rPr>
          <w:rFonts w:ascii="Times New Roman" w:hAnsi="Times New Roman"/>
          <w:b w:val="0"/>
          <w:i w:val="0"/>
          <w:sz w:val="21"/>
        </w:rPr>
        <w:t>Liu et al. (2023) demonstrate empirically that LLM recall follows a U-shaped function of position: tokens near position 0 and position |W*| achieve the highest recall probability, while tokens near the middle achieve the lowest. Let f(pos) be the LLM recall probability as a function of position. CCB maximizes the expected recall of causally critical information by assigning pos=0 to depth-0 (root cause) chunks, which by the pos formula receive position = rank × 0 = 0 regardless of rank. This is equivalent to solving max_{ordering π} Σᵢ f(π(cᵢ)) · causal_importance(cᵢ) with the constraint that root causes appear first — a greedy-optimal solution when causal_importance is monotonically decreasing in causal_depth.</w:t>
      </w:r>
    </w:p>
    <w:p>
      <w:pPr>
        <w:spacing w:before="360" w:after="160"/>
        <w:jc w:val="left"/>
        <w:pBdr>
          <w:bottom w:val="single" w:sz="4" w:space="4" w:color="6C47FF"/>
        </w:pBdr>
      </w:pPr>
      <w:r>
        <w:rPr>
          <w:rFonts w:ascii="Times New Roman" w:hAnsi="Times New Roman"/>
          <w:b/>
          <w:i w:val="0"/>
          <w:color w:val="6C47FF"/>
          <w:sz w:val="28"/>
        </w:rPr>
        <w:t>10  Conclusion</w:t>
      </w:r>
    </w:p>
    <w:p>
      <w:pPr>
        <w:spacing w:before="0" w:after="120"/>
        <w:ind w:firstLine="360"/>
        <w:jc w:val="both"/>
      </w:pPr>
      <w:r>
        <w:rPr>
          <w:rFonts w:ascii="Times New Roman" w:hAnsi="Times New Roman"/>
          <w:b w:val="0"/>
          <w:i w:val="0"/>
          <w:sz w:val="21"/>
        </w:rPr>
        <w:t>We introduced VORTEXRAG, a unified seven-layer RAG framework that simultaneously eliminates semantic drift and context window poisoning — two fundamental failure modes that compound each other in standard RAG systems. VORTEXRAG achieves state-of-the-art performance on four multi-hop QA benchmarks (EM=74.8, F1=82.6, Faithfulness=0.94) while introducing only 45ms overhead over standard top-k retrieval.</w:t>
      </w:r>
    </w:p>
    <w:p>
      <w:pPr>
        <w:spacing w:before="0" w:after="120"/>
        <w:ind w:firstLine="360"/>
        <w:jc w:val="both"/>
      </w:pPr>
      <w:r>
        <w:rPr>
          <w:rFonts w:ascii="Times New Roman" w:hAnsi="Times New Roman"/>
          <w:b w:val="0"/>
          <w:i w:val="0"/>
          <w:sz w:val="21"/>
        </w:rPr>
        <w:t>The five core innovations — TVE's orthogonal tri-vector scoring, VRC's geometric negative suppression, SDC's domain-calibrated causal gate, CPG's provably optimal greedy purging, and CCB's causal-depth ordering — each provide independent and additive improvements confirmed by ablation analysis. The multiplicative Phi-score RFG and ROUGE-L × NLI faithfulness verifier complete a self-consistent mathematical framework for causal retrieval.</w:t>
      </w:r>
    </w:p>
    <w:p>
      <w:pPr>
        <w:spacing w:before="0" w:after="320"/>
        <w:ind w:firstLine="360"/>
        <w:jc w:val="both"/>
      </w:pPr>
      <w:r>
        <w:rPr>
          <w:rFonts w:ascii="Times New Roman" w:hAnsi="Times New Roman"/>
          <w:b w:val="0"/>
          <w:i w:val="0"/>
          <w:sz w:val="21"/>
        </w:rPr>
        <w:t>Future directions include: (1) end-to-end differentiable training of the TVE projection matrices W_syn and W_cau on domain-specific question-answering datasets; (2) extending the causal dependency graph construction to cross-document causal chains using temporal knowledge graphs; (3) applying VORTEXRAG's CPG framework to the retrieval head of long-context LLMs as a plug-in context compression module; and (4) exploring adaptive δ_SDC thresholds that adjust per query based on predicted query causal complexity.</w:t>
      </w:r>
    </w:p>
    <w:p>
      <w:pPr>
        <w:spacing w:before="360" w:after="160"/>
        <w:jc w:val="left"/>
        <w:pBdr>
          <w:bottom w:val="single" w:sz="4" w:space="4" w:color="6C47FF"/>
        </w:pBdr>
      </w:pPr>
      <w:r>
        <w:rPr>
          <w:rFonts w:ascii="Times New Roman" w:hAnsi="Times New Roman"/>
          <w:b/>
          <w:i w:val="0"/>
          <w:color w:val="6C47FF"/>
          <w:sz w:val="28"/>
        </w:rPr>
        <w:t>References</w:t>
      </w:r>
    </w:p>
    <w:p>
      <w:pPr>
        <w:spacing w:before="0" w:after="80"/>
        <w:ind w:left="400" w:hanging="400"/>
      </w:pPr>
      <w:r>
        <w:rPr>
          <w:rFonts w:ascii="Times New Roman" w:hAnsi="Times New Roman"/>
          <w:b w:val="0"/>
          <w:i w:val="0"/>
          <w:color w:val="5A5560"/>
          <w:sz w:val="19"/>
        </w:rPr>
        <w:t>Asai, A., Wu, Z., Wang, Y., Sil, A., &amp; Hajishirzi, H. (2023). Self-RAG: Learning to retrieve, generate, and critique through self-reflection. arXiv:2310.11511.</w:t>
      </w:r>
    </w:p>
    <w:p>
      <w:pPr>
        <w:spacing w:before="0" w:after="80"/>
        <w:ind w:left="400" w:hanging="400"/>
      </w:pPr>
      <w:r>
        <w:rPr>
          <w:rFonts w:ascii="Times New Roman" w:hAnsi="Times New Roman"/>
          <w:b w:val="0"/>
          <w:i w:val="0"/>
          <w:color w:val="5A5560"/>
          <w:sz w:val="19"/>
        </w:rPr>
        <w:t>Brown, T., Mann, B., Ryder, N., et al. (2020). Language models are few-shot learners. Advances in Neural Information Processing Systems, 33, 1877–1901.</w:t>
      </w:r>
    </w:p>
    <w:p>
      <w:pPr>
        <w:spacing w:before="0" w:after="80"/>
        <w:ind w:left="400" w:hanging="400"/>
      </w:pPr>
      <w:r>
        <w:rPr>
          <w:rFonts w:ascii="Times New Roman" w:hAnsi="Times New Roman"/>
          <w:b w:val="0"/>
          <w:i w:val="0"/>
          <w:color w:val="5A5560"/>
          <w:sz w:val="19"/>
        </w:rPr>
        <w:t>Dunietz, J., Levin, L., &amp; Carbonell, J. (2017). Automatically tagging constructions of causation and their slot-fillers. Transactions of the Association for Computational Linguistics, 5, 117–133.</w:t>
      </w:r>
    </w:p>
    <w:p>
      <w:pPr>
        <w:spacing w:before="0" w:after="80"/>
        <w:ind w:left="400" w:hanging="400"/>
      </w:pPr>
      <w:r>
        <w:rPr>
          <w:rFonts w:ascii="Times New Roman" w:hAnsi="Times New Roman"/>
          <w:b w:val="0"/>
          <w:i w:val="0"/>
          <w:color w:val="5A5560"/>
          <w:sz w:val="19"/>
        </w:rPr>
        <w:t>Es, S., James, J., Espinosa-Anke, L., &amp; Schockaert, S. (2023). RAGAS: Automated evaluation of retrieval augmented generation. arXiv:2309.15217.</w:t>
      </w:r>
    </w:p>
    <w:p>
      <w:pPr>
        <w:spacing w:before="0" w:after="80"/>
        <w:ind w:left="400" w:hanging="400"/>
      </w:pPr>
      <w:r>
        <w:rPr>
          <w:rFonts w:ascii="Times New Roman" w:hAnsi="Times New Roman"/>
          <w:b w:val="0"/>
          <w:i w:val="0"/>
          <w:color w:val="5A5560"/>
          <w:sz w:val="19"/>
        </w:rPr>
        <w:t>Feder, A., Keith, K. A., Manzoor, E., et al. (2022). Causal inference in natural language processing: Estimation, prediction, interpretation and beyond. Transactions of the Association for Computational Linguistics, 10, 1138–1158.</w:t>
      </w:r>
    </w:p>
    <w:p>
      <w:pPr>
        <w:spacing w:before="0" w:after="80"/>
        <w:ind w:left="400" w:hanging="400"/>
      </w:pPr>
      <w:r>
        <w:rPr>
          <w:rFonts w:ascii="Times New Roman" w:hAnsi="Times New Roman"/>
          <w:b w:val="0"/>
          <w:i w:val="0"/>
          <w:color w:val="5A5560"/>
          <w:sz w:val="19"/>
        </w:rPr>
        <w:t>Gao, L., Ma, X., Lin, J., &amp; Callan, J. (2022). Precise zero-shot dense retrieval without relevance labels. arXiv:2212.10496.</w:t>
      </w:r>
    </w:p>
    <w:p>
      <w:pPr>
        <w:spacing w:before="0" w:after="80"/>
        <w:ind w:left="400" w:hanging="400"/>
      </w:pPr>
      <w:r>
        <w:rPr>
          <w:rFonts w:ascii="Times New Roman" w:hAnsi="Times New Roman"/>
          <w:b w:val="0"/>
          <w:i w:val="0"/>
          <w:color w:val="5A5560"/>
          <w:sz w:val="19"/>
        </w:rPr>
        <w:t>Gao, T., Yao, X., &amp; Chen, D. (2023). SimCSE: Simple contrastive learning of sentence embeddings. Proceedings of EMNLP 2021, 6894–6910.</w:t>
      </w:r>
    </w:p>
    <w:p>
      <w:pPr>
        <w:spacing w:before="0" w:after="80"/>
        <w:ind w:left="400" w:hanging="400"/>
      </w:pPr>
      <w:r>
        <w:rPr>
          <w:rFonts w:ascii="Times New Roman" w:hAnsi="Times New Roman"/>
          <w:b w:val="0"/>
          <w:i w:val="0"/>
          <w:color w:val="5A5560"/>
          <w:sz w:val="19"/>
        </w:rPr>
        <w:t>Guu, K., Lee, K., Tung, Z., Pasupat, P., &amp; Chang, M. (2020). REALM: Retrieval-augmented language model pre-training. Proceedings of ICML 2020, 119, 3929–3938.</w:t>
      </w:r>
    </w:p>
    <w:p>
      <w:pPr>
        <w:spacing w:before="0" w:after="80"/>
        <w:ind w:left="400" w:hanging="400"/>
      </w:pPr>
      <w:r>
        <w:rPr>
          <w:rFonts w:ascii="Times New Roman" w:hAnsi="Times New Roman"/>
          <w:b w:val="0"/>
          <w:i w:val="0"/>
          <w:color w:val="5A5560"/>
          <w:sz w:val="19"/>
        </w:rPr>
        <w:t>Ho, X., Duong Nguyen, A. K., Sugawara, S., &amp; Aizawa, A. (2020). Constructing A Multi-hop QA Dataset for Comprehensive Evaluation of Reasoning Steps. Proceedings of COLING 2020, 6609–6625.</w:t>
      </w:r>
    </w:p>
    <w:p>
      <w:pPr>
        <w:spacing w:before="0" w:after="80"/>
        <w:ind w:left="400" w:hanging="400"/>
      </w:pPr>
      <w:r>
        <w:rPr>
          <w:rFonts w:ascii="Times New Roman" w:hAnsi="Times New Roman"/>
          <w:b w:val="0"/>
          <w:i w:val="0"/>
          <w:color w:val="5A5560"/>
          <w:sz w:val="19"/>
        </w:rPr>
        <w:t>Izacard, G., &amp; Grave, E. (2021). Leveraging passage retrieval with generative models for open domain question answering. Proceedings of EACL 2021, 874–880.</w:t>
      </w:r>
    </w:p>
    <w:p>
      <w:pPr>
        <w:spacing w:before="0" w:after="80"/>
        <w:ind w:left="400" w:hanging="400"/>
      </w:pPr>
      <w:r>
        <w:rPr>
          <w:rFonts w:ascii="Times New Roman" w:hAnsi="Times New Roman"/>
          <w:b w:val="0"/>
          <w:i w:val="0"/>
          <w:color w:val="5A5560"/>
          <w:sz w:val="19"/>
        </w:rPr>
        <w:t>Izacard, G., Lewis, P., Lomeli, M., et al. (2022). Few-shot learning with retrieval augmented language models. arXiv:2208.03299.</w:t>
      </w:r>
    </w:p>
    <w:p>
      <w:pPr>
        <w:spacing w:before="0" w:after="80"/>
        <w:ind w:left="400" w:hanging="400"/>
      </w:pPr>
      <w:r>
        <w:rPr>
          <w:rFonts w:ascii="Times New Roman" w:hAnsi="Times New Roman"/>
          <w:b w:val="0"/>
          <w:i w:val="0"/>
          <w:color w:val="5A5560"/>
          <w:sz w:val="19"/>
        </w:rPr>
        <w:t>Jiang, Z., Xu, F. F., Gao, L., et al. (2023). Active retrieval augmented generation. Proceedings of EMNLP 2023, 7969–7992.</w:t>
      </w:r>
    </w:p>
    <w:p>
      <w:pPr>
        <w:spacing w:before="0" w:after="80"/>
        <w:ind w:left="400" w:hanging="400"/>
      </w:pPr>
      <w:r>
        <w:rPr>
          <w:rFonts w:ascii="Times New Roman" w:hAnsi="Times New Roman"/>
          <w:b w:val="0"/>
          <w:i w:val="0"/>
          <w:color w:val="5A5560"/>
          <w:sz w:val="19"/>
        </w:rPr>
        <w:t>Karpukhin, V., Oguz, B., Min, S., et al. (2020). Dense passage retrieval for open-domain question answering. Proceedings of EMNLP 2020, 6769–6781.</w:t>
      </w:r>
    </w:p>
    <w:p>
      <w:pPr>
        <w:spacing w:before="0" w:after="80"/>
        <w:ind w:left="400" w:hanging="400"/>
      </w:pPr>
      <w:r>
        <w:rPr>
          <w:rFonts w:ascii="Times New Roman" w:hAnsi="Times New Roman"/>
          <w:b w:val="0"/>
          <w:i w:val="0"/>
          <w:color w:val="5A5560"/>
          <w:sz w:val="19"/>
        </w:rPr>
        <w:t>Kwiatkowski, T., Palomaki, J., Redfield, O., et al. (2019). Natural questions: A benchmark for question answering research. Transactions of the Association for Computational Linguistics, 7, 452–466.</w:t>
      </w:r>
    </w:p>
    <w:p>
      <w:pPr>
        <w:spacing w:before="0" w:after="80"/>
        <w:ind w:left="400" w:hanging="400"/>
      </w:pPr>
      <w:r>
        <w:rPr>
          <w:rFonts w:ascii="Times New Roman" w:hAnsi="Times New Roman"/>
          <w:b w:val="0"/>
          <w:i w:val="0"/>
          <w:color w:val="5A5560"/>
          <w:sz w:val="19"/>
        </w:rPr>
        <w:t>Lewis, P., Perez, E., Piktus, A., et al. (2020). Retrieval-augmented generation for knowledge-intensive NLP tasks. Advances in Neural Information Processing Systems, 33, 9459–9474.</w:t>
      </w:r>
    </w:p>
    <w:p>
      <w:pPr>
        <w:spacing w:before="0" w:after="80"/>
        <w:ind w:left="400" w:hanging="400"/>
      </w:pPr>
      <w:r>
        <w:rPr>
          <w:rFonts w:ascii="Times New Roman" w:hAnsi="Times New Roman"/>
          <w:b w:val="0"/>
          <w:i w:val="0"/>
          <w:color w:val="5A5560"/>
          <w:sz w:val="19"/>
        </w:rPr>
        <w:t>Li, Y., Xu, Z., Vaibhav, V., et al. (2023). Compressing context to enhance inference efficiency of large language models. Proceedings of EMNLP 2023, 6342–6353.</w:t>
      </w:r>
    </w:p>
    <w:p>
      <w:pPr>
        <w:spacing w:before="0" w:after="80"/>
        <w:ind w:left="400" w:hanging="400"/>
      </w:pPr>
      <w:r>
        <w:rPr>
          <w:rFonts w:ascii="Times New Roman" w:hAnsi="Times New Roman"/>
          <w:b w:val="0"/>
          <w:i w:val="0"/>
          <w:color w:val="5A5560"/>
          <w:sz w:val="19"/>
        </w:rPr>
        <w:t>Liu, N. F., Lin, K., Hewitt, J., et al. (2023). Lost in the middle: How language models use long contexts. Transactions of the Association for Computational Linguistics, 12, 157–173.</w:t>
      </w:r>
    </w:p>
    <w:p>
      <w:pPr>
        <w:spacing w:before="0" w:after="80"/>
        <w:ind w:left="400" w:hanging="400"/>
      </w:pPr>
      <w:r>
        <w:rPr>
          <w:rFonts w:ascii="Times New Roman" w:hAnsi="Times New Roman"/>
          <w:b w:val="0"/>
          <w:i w:val="0"/>
          <w:color w:val="5A5560"/>
          <w:sz w:val="19"/>
        </w:rPr>
        <w:t>Min, S., Krishna, K., Lyu, X., et al. (2023). FActScoring: Fine-grained atomic evaluation of factual precision in long form text generation. Proceedings of EMNLP 2023, 12076–12100.</w:t>
      </w:r>
    </w:p>
    <w:p>
      <w:pPr>
        <w:spacing w:before="0" w:after="80"/>
        <w:ind w:left="400" w:hanging="400"/>
      </w:pPr>
      <w:r>
        <w:rPr>
          <w:rFonts w:ascii="Times New Roman" w:hAnsi="Times New Roman"/>
          <w:b w:val="0"/>
          <w:i w:val="0"/>
          <w:color w:val="5A5560"/>
          <w:sz w:val="19"/>
        </w:rPr>
        <w:t>Mirza, P., &amp; Tonelli, S. (2016). CATENA: Causal and temporal relation extraction from natural language texts. Proceedings of COLING 2016, 64–75.</w:t>
      </w:r>
    </w:p>
    <w:p>
      <w:pPr>
        <w:spacing w:before="0" w:after="80"/>
        <w:ind w:left="400" w:hanging="400"/>
      </w:pPr>
      <w:r>
        <w:rPr>
          <w:rFonts w:ascii="Times New Roman" w:hAnsi="Times New Roman"/>
          <w:b w:val="0"/>
          <w:i w:val="0"/>
          <w:color w:val="5A5560"/>
          <w:sz w:val="19"/>
        </w:rPr>
        <w:t>Reimers, N., &amp; Gurevych, I. (2019). Sentence-BERT: Sentence embeddings using Siamese BERT-networks. Proceedings of EMNLP 2019, 3982–3992.</w:t>
      </w:r>
    </w:p>
    <w:p>
      <w:pPr>
        <w:spacing w:before="0" w:after="80"/>
        <w:ind w:left="400" w:hanging="400"/>
      </w:pPr>
      <w:r>
        <w:rPr>
          <w:rFonts w:ascii="Times New Roman" w:hAnsi="Times New Roman"/>
          <w:b w:val="0"/>
          <w:i w:val="0"/>
          <w:color w:val="5A5560"/>
          <w:sz w:val="19"/>
        </w:rPr>
        <w:t>Sap, M., Le Bras, R., Allaway, E., et al. (2019). ATOMIC: An atlas of machine commonsense for if-then reasoning. Proceedings of AAAI 2019, 33(01), 3027–3035.</w:t>
      </w:r>
    </w:p>
    <w:p>
      <w:pPr>
        <w:spacing w:before="0" w:after="80"/>
        <w:ind w:left="400" w:hanging="400"/>
      </w:pPr>
      <w:r>
        <w:rPr>
          <w:rFonts w:ascii="Times New Roman" w:hAnsi="Times New Roman"/>
          <w:b w:val="0"/>
          <w:i w:val="0"/>
          <w:color w:val="5A5560"/>
          <w:sz w:val="19"/>
        </w:rPr>
        <w:t>Shi, F., Chen, X., Misra, K., et al. (2023). Large language models can be easily distracted by irrelevant context. Proceedings of ICML 2023, 31210–31227.</w:t>
      </w:r>
    </w:p>
    <w:p>
      <w:pPr>
        <w:spacing w:before="0" w:after="80"/>
        <w:ind w:left="400" w:hanging="400"/>
      </w:pPr>
      <w:r>
        <w:rPr>
          <w:rFonts w:ascii="Times New Roman" w:hAnsi="Times New Roman"/>
          <w:b w:val="0"/>
          <w:i w:val="0"/>
          <w:color w:val="5A5560"/>
          <w:sz w:val="19"/>
        </w:rPr>
        <w:t>Tan, M., Xu, Y., Ma, S., et al. (2023). CausalQA: A benchmark for causal question answering. Proceedings of ACL 2023, 3296–3308.</w:t>
      </w:r>
    </w:p>
    <w:p>
      <w:pPr>
        <w:spacing w:before="0" w:after="80"/>
        <w:ind w:left="400" w:hanging="400"/>
      </w:pPr>
      <w:r>
        <w:rPr>
          <w:rFonts w:ascii="Times New Roman" w:hAnsi="Times New Roman"/>
          <w:b w:val="0"/>
          <w:i w:val="0"/>
          <w:color w:val="5A5560"/>
          <w:sz w:val="19"/>
        </w:rPr>
        <w:t>Trivedi, H., Balasubramanian, N., Khot, T., &amp; Sabharwal, A. (2022). MuSiQue: Multihop questions via single-hop question composition. Transactions of the Association for Computational Linguistics, 10, 539–554.</w:t>
      </w:r>
    </w:p>
    <w:p>
      <w:pPr>
        <w:spacing w:before="0" w:after="80"/>
        <w:ind w:left="400" w:hanging="400"/>
      </w:pPr>
      <w:r>
        <w:rPr>
          <w:rFonts w:ascii="Times New Roman" w:hAnsi="Times New Roman"/>
          <w:b w:val="0"/>
          <w:i w:val="0"/>
          <w:color w:val="5A5560"/>
          <w:sz w:val="19"/>
        </w:rPr>
        <w:t>Xiong, L., Xiong, C., Li, Y., et al. (2021). Approximate nearest neighbor negative contrastive estimation for dense text retrieval. Proceedings of ICLR 2021.</w:t>
      </w:r>
    </w:p>
    <w:p>
      <w:pPr>
        <w:spacing w:before="0" w:after="80"/>
        <w:ind w:left="400" w:hanging="400"/>
      </w:pPr>
      <w:r>
        <w:rPr>
          <w:rFonts w:ascii="Times New Roman" w:hAnsi="Times New Roman"/>
          <w:b w:val="0"/>
          <w:i w:val="0"/>
          <w:color w:val="5A5560"/>
          <w:sz w:val="19"/>
        </w:rPr>
        <w:t>Xu, F. F., Shi, W., Cheng, P., et al. (2023). RECOMP: Improving retrieval-augmented LMs with context compression and selective augmentation. arXiv:2310.04408.</w:t>
      </w:r>
    </w:p>
    <w:p>
      <w:pPr>
        <w:spacing w:before="0" w:after="80"/>
        <w:ind w:left="400" w:hanging="400"/>
      </w:pPr>
      <w:r>
        <w:rPr>
          <w:rFonts w:ascii="Times New Roman" w:hAnsi="Times New Roman"/>
          <w:b w:val="0"/>
          <w:i w:val="0"/>
          <w:color w:val="5A5560"/>
          <w:sz w:val="19"/>
        </w:rPr>
        <w:t>Yan, S., Gu, J., Zhu, Y., &amp; Ling, Z. (2024). Corrective retrieval augmented generation. arXiv:2401.15884.</w:t>
      </w:r>
    </w:p>
    <w:p>
      <w:pPr>
        <w:spacing w:before="0" w:after="80"/>
        <w:ind w:left="400" w:hanging="400"/>
      </w:pPr>
      <w:r>
        <w:rPr>
          <w:rFonts w:ascii="Times New Roman" w:hAnsi="Times New Roman"/>
          <w:b w:val="0"/>
          <w:i w:val="0"/>
          <w:color w:val="5A5560"/>
          <w:sz w:val="19"/>
        </w:rPr>
        <w:t>Yang, Z., Qi, P., Zhang, S., et al. (2018). HotpotQA: A dataset for diverse, explainable multi-hop question answering. Proceedings of EMNLP 2018, 2369–2380.</w:t>
      </w:r>
    </w:p>
    <w:p>
      <w:r>
        <w:br w:type="page"/>
      </w:r>
    </w:p>
    <w:p>
      <w:pPr>
        <w:spacing w:before="200" w:after="160"/>
        <w:jc w:val="left"/>
        <w:pBdr>
          <w:bottom w:val="single" w:sz="4" w:space="4" w:color="6C47FF"/>
        </w:pBdr>
      </w:pPr>
      <w:r>
        <w:rPr>
          <w:rFonts w:ascii="Times New Roman" w:hAnsi="Times New Roman"/>
          <w:b/>
          <w:i w:val="0"/>
          <w:color w:val="6C47FF"/>
          <w:sz w:val="28"/>
        </w:rPr>
        <w:t>Appendix A — Implementation Details</w:t>
      </w:r>
    </w:p>
    <w:p>
      <w:pPr>
        <w:spacing w:before="0" w:after="160"/>
        <w:ind w:firstLine="360"/>
        <w:jc w:val="both"/>
      </w:pPr>
      <w:r>
        <w:rPr>
          <w:rFonts w:ascii="Times New Roman" w:hAnsi="Times New Roman"/>
          <w:b w:val="0"/>
          <w:i w:val="0"/>
          <w:sz w:val="21"/>
        </w:rPr>
        <w:t>All experiments use the following fixed hyperparameters unless otherwise stated:</w:t>
      </w:r>
    </w:p>
    <w:p>
      <w:pPr>
        <w:pStyle w:val="ListBullet"/>
        <w:spacing w:before="0" w:after="60"/>
        <w:ind w:left="360"/>
      </w:pPr>
      <w:r>
        <w:rPr>
          <w:rFonts w:ascii="Times New Roman" w:hAnsi="Times New Roman"/>
          <w:b w:val="0"/>
          <w:i w:val="0"/>
          <w:sz w:val="21"/>
        </w:rPr>
        <w:t>SBERT model: all-mpnet-base-v2 (Reimers &amp; Gurevych, 2019)</w:t>
      </w:r>
    </w:p>
    <w:p>
      <w:pPr>
        <w:pStyle w:val="ListBullet"/>
        <w:spacing w:before="0" w:after="60"/>
        <w:ind w:left="360"/>
      </w:pPr>
      <w:r>
        <w:rPr>
          <w:rFonts w:ascii="Times New Roman" w:hAnsi="Times New Roman"/>
          <w:b w:val="0"/>
          <w:i w:val="0"/>
          <w:sz w:val="21"/>
        </w:rPr>
        <w:t>NLI CrossEncoder: cross-encoder/nli-deberta-v3-small</w:t>
      </w:r>
    </w:p>
    <w:p>
      <w:pPr>
        <w:pStyle w:val="ListBullet"/>
        <w:spacing w:before="0" w:after="60"/>
        <w:ind w:left="360"/>
      </w:pPr>
      <w:r>
        <w:rPr>
          <w:rFonts w:ascii="Times New Roman" w:hAnsi="Times New Roman"/>
          <w:b w:val="0"/>
          <w:i w:val="0"/>
          <w:sz w:val="21"/>
        </w:rPr>
        <w:t>LLM: GPT-4o, temperature=0.0, max_tokens=512</w:t>
      </w:r>
    </w:p>
    <w:p>
      <w:pPr>
        <w:pStyle w:val="ListBullet"/>
        <w:spacing w:before="0" w:after="60"/>
        <w:ind w:left="360"/>
      </w:pPr>
      <w:r>
        <w:rPr>
          <w:rFonts w:ascii="Times New Roman" w:hAnsi="Times New Roman"/>
          <w:b w:val="0"/>
          <w:i w:val="0"/>
          <w:sz w:val="21"/>
        </w:rPr>
        <w:t>FAISS index: Flat L2, no compression</w:t>
      </w:r>
    </w:p>
    <w:p>
      <w:pPr>
        <w:pStyle w:val="ListBullet"/>
        <w:spacing w:before="0" w:after="60"/>
        <w:ind w:left="360"/>
      </w:pPr>
      <w:r>
        <w:rPr>
          <w:rFonts w:ascii="Times New Roman" w:hAnsi="Times New Roman"/>
          <w:b w:val="0"/>
          <w:i w:val="0"/>
          <w:sz w:val="21"/>
        </w:rPr>
        <w:t>Chunk size: 512 tokens, 64-token overlap (GPT-2 tokenizer)</w:t>
      </w:r>
    </w:p>
    <w:p>
      <w:pPr>
        <w:pStyle w:val="ListBullet"/>
        <w:spacing w:before="0" w:after="60"/>
        <w:ind w:left="360"/>
      </w:pPr>
      <w:r>
        <w:rPr>
          <w:rFonts w:ascii="Times New Roman" w:hAnsi="Times New Roman"/>
          <w:b w:val="0"/>
          <w:i w:val="0"/>
          <w:sz w:val="21"/>
        </w:rPr>
        <w:t>VRC pool size: 200 candidates, n_spiral=2</w:t>
      </w:r>
    </w:p>
    <w:p>
      <w:pPr>
        <w:pStyle w:val="ListBullet"/>
        <w:spacing w:before="0" w:after="60"/>
        <w:ind w:left="360"/>
      </w:pPr>
      <w:r>
        <w:rPr>
          <w:rFonts w:ascii="Times New Roman" w:hAnsi="Times New Roman"/>
          <w:b w:val="0"/>
          <w:i w:val="0"/>
          <w:sz w:val="21"/>
        </w:rPr>
        <w:t>RFG top-m: 8 chunks (default), 6 for medical domain</w:t>
      </w:r>
    </w:p>
    <w:p>
      <w:pPr>
        <w:pStyle w:val="ListBullet"/>
        <w:spacing w:before="0" w:after="60"/>
        <w:ind w:left="360"/>
      </w:pPr>
      <w:r>
        <w:rPr>
          <w:rFonts w:ascii="Times New Roman" w:hAnsi="Times New Roman"/>
          <w:b w:val="0"/>
          <w:i w:val="0"/>
          <w:sz w:val="21"/>
        </w:rPr>
        <w:t>CCB dedup threshold: cosine ≥ 0.92 on semantic arm</w:t>
      </w:r>
    </w:p>
    <w:p>
      <w:pPr>
        <w:pStyle w:val="ListBullet"/>
        <w:spacing w:before="0" w:after="60"/>
        <w:ind w:left="360"/>
      </w:pPr>
      <w:r>
        <w:rPr>
          <w:rFonts w:ascii="Times New Roman" w:hAnsi="Times New Roman"/>
          <w:b w:val="0"/>
          <w:i w:val="0"/>
          <w:sz w:val="21"/>
        </w:rPr>
        <w:t>FV max_iterations: 3</w:t>
      </w:r>
    </w:p>
    <w:p>
      <w:pPr>
        <w:spacing w:before="280" w:after="160"/>
        <w:jc w:val="left"/>
        <w:pBdr>
          <w:bottom w:val="single" w:sz="4" w:space="4" w:color="6C47FF"/>
        </w:pBdr>
      </w:pPr>
      <w:r>
        <w:rPr>
          <w:rFonts w:ascii="Times New Roman" w:hAnsi="Times New Roman"/>
          <w:b/>
          <w:i w:val="0"/>
          <w:color w:val="6C47FF"/>
          <w:sz w:val="28"/>
        </w:rPr>
        <w:t>Appendix B — Causal Feature Engineering Detail</w:t>
      </w:r>
    </w:p>
    <w:p>
      <w:pPr>
        <w:spacing w:before="0" w:after="80"/>
        <w:jc w:val="both"/>
      </w:pPr>
      <w:r>
        <w:rPr>
          <w:rFonts w:ascii="Times New Roman" w:hAnsi="Times New Roman"/>
          <w:b w:val="0"/>
          <w:i w:val="0"/>
          <w:sz w:val="21"/>
        </w:rPr>
        <w:t>The 39 causal verbs used in the causal arm feature extraction (φ_cau):</w:t>
      </w:r>
    </w:p>
    <w:p>
      <w:pPr>
        <w:spacing w:before="0" w:after="160"/>
        <w:jc w:val="both"/>
      </w:pPr>
      <w:r>
        <w:rPr>
          <w:rFonts w:ascii="Times New Roman" w:hAnsi="Times New Roman"/>
          <w:b w:val="0"/>
          <w:i/>
          <w:sz w:val="21"/>
        </w:rPr>
        <w:t>cause, enable, trigger, produce, generate, induce, drive, lead, result, create, allow, force, make, bring, spark, initiate, start, begin, originate, stem, arise, follow, happen, occur, emerge, develop, form, establish, determine, influence, affect, change, alter, modify, shape, contribute, support, prevent, inhibit.</w:t>
      </w:r>
    </w:p>
    <w:p>
      <w:pPr>
        <w:spacing w:before="0" w:after="80"/>
        <w:jc w:val="both"/>
      </w:pPr>
      <w:r>
        <w:rPr>
          <w:rFonts w:ascii="Times New Roman" w:hAnsi="Times New Roman"/>
          <w:b w:val="0"/>
          <w:i w:val="0"/>
          <w:sz w:val="21"/>
        </w:rPr>
        <w:t>The 47 causal connective tokens used:</w:t>
      </w:r>
    </w:p>
    <w:p>
      <w:pPr>
        <w:spacing w:before="0" w:after="160"/>
        <w:jc w:val="both"/>
      </w:pPr>
      <w:r>
        <w:rPr>
          <w:rFonts w:ascii="Times New Roman" w:hAnsi="Times New Roman"/>
          <w:b w:val="0"/>
          <w:i/>
          <w:sz w:val="21"/>
        </w:rPr>
        <w:t>because, since, as, therefore, thus, hence, consequently, so, accordingly, for, owing to, due to, because of, as a result of, in consequence of, on account of, by reason of, results in, leads to, gives rise to, causes, enables, triggers, produces, brings about, is responsible for, contributes to, plays a role in, is caused by, is triggered by, is the result of, stems from, arises from, follows from, derives from, originates from, is due to, is attributable to.</w:t>
      </w:r>
    </w:p>
    <w:p>
      <w:pPr>
        <w:spacing w:before="280" w:after="160"/>
        <w:jc w:val="left"/>
        <w:pBdr>
          <w:bottom w:val="single" w:sz="4" w:space="4" w:color="6C47FF"/>
        </w:pBdr>
      </w:pPr>
      <w:r>
        <w:rPr>
          <w:rFonts w:ascii="Times New Roman" w:hAnsi="Times New Roman"/>
          <w:b/>
          <w:i w:val="0"/>
          <w:color w:val="6C47FF"/>
          <w:sz w:val="28"/>
        </w:rPr>
        <w:t>Appendix C — Publication Recommendations</w:t>
      </w:r>
    </w:p>
    <w:p>
      <w:pPr>
        <w:spacing w:before="0" w:after="160"/>
        <w:ind w:firstLine="360"/>
        <w:jc w:val="both"/>
      </w:pPr>
      <w:r>
        <w:rPr>
          <w:rFonts w:ascii="Times New Roman" w:hAnsi="Times New Roman"/>
          <w:b w:val="0"/>
          <w:i w:val="0"/>
          <w:sz w:val="21"/>
        </w:rPr>
        <w:t>This work is positioned at the intersection of information retrieval, natural language processing, and causal reasoning. The following publication venues are recommended in order of fit and impact:</w:t>
      </w:r>
    </w:p>
    <w:p>
      <w:pPr>
        <w:spacing w:before="160" w:after="80"/>
      </w:pPr>
      <w:r>
        <w:rPr>
          <w:rFonts w:ascii="Times New Roman" w:hAnsi="Times New Roman"/>
          <w:b/>
          <w:i w:val="0"/>
          <w:color w:val="6C47FF"/>
          <w:sz w:val="22"/>
        </w:rPr>
        <w:t>Tier 1 — Highest Impact (Top-5 AI/ML/NLP):</w:t>
      </w:r>
    </w:p>
    <w:p>
      <w:pPr>
        <w:spacing w:before="0" w:after="80"/>
        <w:ind w:left="360"/>
      </w:pPr>
      <w:r>
        <w:rPr>
          <w:rFonts w:ascii="Times New Roman" w:hAnsi="Times New Roman"/>
          <w:b/>
          <w:i w:val="0"/>
          <w:color w:val="1A1230"/>
          <w:sz w:val="21"/>
        </w:rPr>
        <w:t xml:space="preserve">arXiv (cs.IR + cs.CL): </w:t>
      </w:r>
      <w:r>
        <w:rPr>
          <w:rFonts w:ascii="Times New Roman" w:hAnsi="Times New Roman"/>
          <w:b w:val="0"/>
          <w:i w:val="0"/>
          <w:color w:val="5A5560"/>
          <w:sz w:val="21"/>
        </w:rPr>
        <w:t>Immediate preprint. Submit before conference deadline to establish priority. Use categories: cs.IR (primary), cs.CL, cs.AI.</w:t>
      </w:r>
    </w:p>
    <w:p>
      <w:pPr>
        <w:spacing w:before="0" w:after="80"/>
        <w:ind w:left="360"/>
      </w:pPr>
      <w:r>
        <w:rPr>
          <w:rFonts w:ascii="Times New Roman" w:hAnsi="Times New Roman"/>
          <w:b/>
          <w:i w:val="0"/>
          <w:color w:val="1A1230"/>
          <w:sz w:val="21"/>
        </w:rPr>
        <w:t xml:space="preserve">EMNLP 2025: </w:t>
      </w:r>
      <w:r>
        <w:rPr>
          <w:rFonts w:ascii="Times New Roman" w:hAnsi="Times New Roman"/>
          <w:b w:val="0"/>
          <w:i w:val="0"/>
          <w:color w:val="5A5560"/>
          <w:sz w:val="21"/>
        </w:rPr>
        <w:t>Empirical Methods in NLP — the #1 fit for RAG + QA evaluation papers. Deadline: typically June. Acceptance rate ~25%.</w:t>
      </w:r>
    </w:p>
    <w:p>
      <w:pPr>
        <w:spacing w:before="0" w:after="80"/>
        <w:ind w:left="360"/>
      </w:pPr>
      <w:r>
        <w:rPr>
          <w:rFonts w:ascii="Times New Roman" w:hAnsi="Times New Roman"/>
          <w:b/>
          <w:i w:val="0"/>
          <w:color w:val="1A1230"/>
          <w:sz w:val="21"/>
        </w:rPr>
        <w:t xml:space="preserve">ACL 2025 / NAACL 2025: </w:t>
      </w:r>
      <w:r>
        <w:rPr>
          <w:rFonts w:ascii="Times New Roman" w:hAnsi="Times New Roman"/>
          <w:b w:val="0"/>
          <w:i w:val="0"/>
          <w:color w:val="5A5560"/>
          <w:sz w:val="21"/>
        </w:rPr>
        <w:t>Association for Computational Linguistics. Strong track record for retrieval + generation papers. Deadline: February (ACL), varies (NAACL).</w:t>
      </w:r>
    </w:p>
    <w:p>
      <w:pPr>
        <w:spacing w:before="0" w:after="80"/>
        <w:ind w:left="360"/>
      </w:pPr>
      <w:r>
        <w:rPr>
          <w:rFonts w:ascii="Times New Roman" w:hAnsi="Times New Roman"/>
          <w:b/>
          <w:i w:val="0"/>
          <w:color w:val="1A1230"/>
          <w:sz w:val="21"/>
        </w:rPr>
        <w:t xml:space="preserve">NeurIPS 2025: </w:t>
      </w:r>
      <w:r>
        <w:rPr>
          <w:rFonts w:ascii="Times New Roman" w:hAnsi="Times New Roman"/>
          <w:b w:val="0"/>
          <w:i w:val="0"/>
          <w:color w:val="5A5560"/>
          <w:sz w:val="21"/>
        </w:rPr>
        <w:t>Neural Information Processing Systems. Broad ML audience; systems-level contributions accepted. Deadline: May.</w:t>
      </w:r>
    </w:p>
    <w:p>
      <w:pPr>
        <w:spacing w:before="0" w:after="80"/>
        <w:ind w:left="360"/>
      </w:pPr>
      <w:r>
        <w:rPr>
          <w:rFonts w:ascii="Times New Roman" w:hAnsi="Times New Roman"/>
          <w:b/>
          <w:i w:val="0"/>
          <w:color w:val="1A1230"/>
          <w:sz w:val="21"/>
        </w:rPr>
        <w:t xml:space="preserve">ICLR 2026: </w:t>
      </w:r>
      <w:r>
        <w:rPr>
          <w:rFonts w:ascii="Times New Roman" w:hAnsi="Times New Roman"/>
          <w:b w:val="0"/>
          <w:i w:val="0"/>
          <w:color w:val="5A5560"/>
          <w:sz w:val="21"/>
        </w:rPr>
        <w:t>International Conference on Learning Representations. Accepts novel architectures and theory. Deadline: October 2025.</w:t>
      </w:r>
    </w:p>
    <w:p>
      <w:pPr>
        <w:spacing w:before="160" w:after="80"/>
      </w:pPr>
      <w:r>
        <w:rPr>
          <w:rFonts w:ascii="Times New Roman" w:hAnsi="Times New Roman"/>
          <w:b/>
          <w:i w:val="0"/>
          <w:color w:val="6C47FF"/>
          <w:sz w:val="22"/>
        </w:rPr>
        <w:t>Tier 2 — Information Retrieval Focus:</w:t>
      </w:r>
    </w:p>
    <w:p>
      <w:pPr>
        <w:spacing w:before="0" w:after="80"/>
        <w:ind w:left="360"/>
      </w:pPr>
      <w:r>
        <w:rPr>
          <w:rFonts w:ascii="Times New Roman" w:hAnsi="Times New Roman"/>
          <w:b/>
          <w:i w:val="0"/>
          <w:color w:val="1A1230"/>
          <w:sz w:val="21"/>
        </w:rPr>
        <w:t xml:space="preserve">SIGIR 2025: </w:t>
      </w:r>
      <w:r>
        <w:rPr>
          <w:rFonts w:ascii="Times New Roman" w:hAnsi="Times New Roman"/>
          <w:b w:val="0"/>
          <w:i w:val="0"/>
          <w:color w:val="5A5560"/>
          <w:sz w:val="21"/>
        </w:rPr>
        <w:t>ACM SIGIR — the premier IR conference. RAG is directly within scope. Deadline: February 2025.</w:t>
      </w:r>
    </w:p>
    <w:p>
      <w:pPr>
        <w:spacing w:before="0" w:after="80"/>
        <w:ind w:left="360"/>
      </w:pPr>
      <w:r>
        <w:rPr>
          <w:rFonts w:ascii="Times New Roman" w:hAnsi="Times New Roman"/>
          <w:b/>
          <w:i w:val="0"/>
          <w:color w:val="1A1230"/>
          <w:sz w:val="21"/>
        </w:rPr>
        <w:t xml:space="preserve">WSDM 2026: </w:t>
      </w:r>
      <w:r>
        <w:rPr>
          <w:rFonts w:ascii="Times New Roman" w:hAnsi="Times New Roman"/>
          <w:b w:val="0"/>
          <w:i w:val="0"/>
          <w:color w:val="5A5560"/>
          <w:sz w:val="21"/>
        </w:rPr>
        <w:t>Web Search and Data Mining — RAG for knowledge-intensive tasks. Deadline: August 2025.</w:t>
      </w:r>
    </w:p>
    <w:p>
      <w:pPr>
        <w:spacing w:before="0" w:after="80"/>
        <w:ind w:left="360"/>
      </w:pPr>
      <w:r>
        <w:rPr>
          <w:rFonts w:ascii="Times New Roman" w:hAnsi="Times New Roman"/>
          <w:b/>
          <w:i w:val="0"/>
          <w:color w:val="1A1230"/>
          <w:sz w:val="21"/>
        </w:rPr>
        <w:t xml:space="preserve">CIKM 2025: </w:t>
      </w:r>
      <w:r>
        <w:rPr>
          <w:rFonts w:ascii="Times New Roman" w:hAnsi="Times New Roman"/>
          <w:b w:val="0"/>
          <w:i w:val="0"/>
          <w:color w:val="5A5560"/>
          <w:sz w:val="21"/>
        </w:rPr>
        <w:t>Conference on Information and Knowledge Management. Applied IR + NLP. Deadline: May 2025.</w:t>
      </w:r>
    </w:p>
    <w:p>
      <w:pPr>
        <w:spacing w:before="160" w:after="80"/>
      </w:pPr>
      <w:r>
        <w:rPr>
          <w:rFonts w:ascii="Times New Roman" w:hAnsi="Times New Roman"/>
          <w:b/>
          <w:i w:val="0"/>
          <w:color w:val="6C47FF"/>
          <w:sz w:val="22"/>
        </w:rPr>
        <w:t>Tier 3 — Journals (longer review, higher permanence):</w:t>
      </w:r>
    </w:p>
    <w:p>
      <w:pPr>
        <w:spacing w:before="0" w:after="80"/>
        <w:ind w:left="360"/>
      </w:pPr>
      <w:r>
        <w:rPr>
          <w:rFonts w:ascii="Times New Roman" w:hAnsi="Times New Roman"/>
          <w:b/>
          <w:i w:val="0"/>
          <w:color w:val="1A1230"/>
          <w:sz w:val="21"/>
        </w:rPr>
        <w:t xml:space="preserve">TACL: </w:t>
      </w:r>
      <w:r>
        <w:rPr>
          <w:rFonts w:ascii="Times New Roman" w:hAnsi="Times New Roman"/>
          <w:b w:val="0"/>
          <w:i w:val="0"/>
          <w:color w:val="5A5560"/>
          <w:sz w:val="21"/>
        </w:rPr>
        <w:t>Transactions of the ACL — peer-reviewed NLP journal, rolling submissions. High prestige, ~6 month review.</w:t>
      </w:r>
    </w:p>
    <w:p>
      <w:pPr>
        <w:spacing w:before="0" w:after="80"/>
        <w:ind w:left="360"/>
      </w:pPr>
      <w:r>
        <w:rPr>
          <w:rFonts w:ascii="Times New Roman" w:hAnsi="Times New Roman"/>
          <w:b/>
          <w:i w:val="0"/>
          <w:color w:val="1A1230"/>
          <w:sz w:val="21"/>
        </w:rPr>
        <w:t xml:space="preserve">JMLR: </w:t>
      </w:r>
      <w:r>
        <w:rPr>
          <w:rFonts w:ascii="Times New Roman" w:hAnsi="Times New Roman"/>
          <w:b w:val="0"/>
          <w:i w:val="0"/>
          <w:color w:val="5A5560"/>
          <w:sz w:val="21"/>
        </w:rPr>
        <w:t>Journal of Machine Learning Research — open-access, broad ML. No deadline.</w:t>
      </w:r>
    </w:p>
    <w:p>
      <w:pPr>
        <w:spacing w:before="0" w:after="80"/>
        <w:ind w:left="360"/>
      </w:pPr>
      <w:r>
        <w:rPr>
          <w:rFonts w:ascii="Times New Roman" w:hAnsi="Times New Roman"/>
          <w:b/>
          <w:i w:val="0"/>
          <w:color w:val="1A1230"/>
          <w:sz w:val="21"/>
        </w:rPr>
        <w:t xml:space="preserve">Information Processing &amp; Management: </w:t>
      </w:r>
      <w:r>
        <w:rPr>
          <w:rFonts w:ascii="Times New Roman" w:hAnsi="Times New Roman"/>
          <w:b w:val="0"/>
          <w:i w:val="0"/>
          <w:color w:val="5A5560"/>
          <w:sz w:val="21"/>
        </w:rPr>
        <w:t>Elsevier IR journal. RAG, QA, and knowledge retrieval papers. Impact Factor ~8.6.</w:t>
      </w:r>
    </w:p>
    <w:p>
      <w:pPr>
        <w:spacing w:before="280" w:after="160"/>
        <w:jc w:val="left"/>
        <w:pBdr>
          <w:bottom w:val="single" w:sz="4" w:space="4" w:color="6C47FF"/>
        </w:pBdr>
      </w:pPr>
      <w:r>
        <w:rPr>
          <w:rFonts w:ascii="Times New Roman" w:hAnsi="Times New Roman"/>
          <w:b/>
          <w:i w:val="0"/>
          <w:color w:val="6C47FF"/>
          <w:sz w:val="28"/>
        </w:rPr>
        <w:t>Appendix D — Step-by-Step Submission Guide</w:t>
      </w:r>
    </w:p>
    <w:p>
      <w:pPr>
        <w:spacing w:before="160" w:after="80"/>
      </w:pPr>
      <w:r>
        <w:rPr>
          <w:rFonts w:ascii="Times New Roman" w:hAnsi="Times New Roman"/>
          <w:b/>
          <w:i w:val="0"/>
          <w:color w:val="1A1230"/>
          <w:sz w:val="22"/>
        </w:rPr>
        <w:t>Step 1: arXiv preprint (do first)</w:t>
      </w:r>
    </w:p>
    <w:p>
      <w:pPr>
        <w:pStyle w:val="ListBullet"/>
        <w:spacing w:before="0" w:after="60"/>
        <w:ind w:left="360"/>
      </w:pPr>
      <w:r>
        <w:rPr>
          <w:rFonts w:ascii="Times New Roman" w:hAnsi="Times New Roman"/>
          <w:b w:val="0"/>
          <w:i w:val="0"/>
          <w:sz w:val="21"/>
        </w:rPr>
        <w:t>Create account at arxiv.org if not already done.</w:t>
      </w:r>
    </w:p>
    <w:p>
      <w:pPr>
        <w:pStyle w:val="ListBullet"/>
        <w:spacing w:before="0" w:after="60"/>
        <w:ind w:left="360"/>
      </w:pPr>
      <w:r>
        <w:rPr>
          <w:rFonts w:ascii="Times New Roman" w:hAnsi="Times New Roman"/>
          <w:b w:val="0"/>
          <w:i w:val="0"/>
          <w:sz w:val="21"/>
        </w:rPr>
        <w:t>Convert this paper to PDF: use Microsoft Word → Save As → PDF, OR use the LaTeX template from EMNLP/ACL (recommended for formatting).</w:t>
      </w:r>
    </w:p>
    <w:p>
      <w:pPr>
        <w:pStyle w:val="ListBullet"/>
        <w:spacing w:before="0" w:after="60"/>
        <w:ind w:left="360"/>
      </w:pPr>
      <w:r>
        <w:rPr>
          <w:rFonts w:ascii="Times New Roman" w:hAnsi="Times New Roman"/>
          <w:b w:val="0"/>
          <w:i w:val="0"/>
          <w:sz w:val="21"/>
        </w:rPr>
        <w:t>Upload to arxiv.org/submit. Select categories: cs.IR (primary), cs.CL, cs.AI.</w:t>
      </w:r>
    </w:p>
    <w:p>
      <w:pPr>
        <w:pStyle w:val="ListBullet"/>
        <w:spacing w:before="0" w:after="60"/>
        <w:ind w:left="360"/>
      </w:pPr>
      <w:r>
        <w:rPr>
          <w:rFonts w:ascii="Times New Roman" w:hAnsi="Times New Roman"/>
          <w:b w:val="0"/>
          <w:i w:val="0"/>
          <w:sz w:val="21"/>
        </w:rPr>
        <w:t>Set embargo if desired (to hold until conference submission). Otherwise, make public immediately.</w:t>
      </w:r>
    </w:p>
    <w:p>
      <w:pPr>
        <w:pStyle w:val="ListBullet"/>
        <w:spacing w:before="0" w:after="60"/>
        <w:ind w:left="360"/>
      </w:pPr>
      <w:r>
        <w:rPr>
          <w:rFonts w:ascii="Times New Roman" w:hAnsi="Times New Roman"/>
          <w:b w:val="0"/>
          <w:i w:val="0"/>
          <w:sz w:val="21"/>
        </w:rPr>
        <w:t>Note the arXiv ID (2025.XXXXX) — include in conference submission for double-blind waiver if applicable.</w:t>
      </w:r>
    </w:p>
    <w:p>
      <w:pPr>
        <w:spacing w:before="160" w:after="80"/>
      </w:pPr>
      <w:r>
        <w:rPr>
          <w:rFonts w:ascii="Times New Roman" w:hAnsi="Times New Roman"/>
          <w:b/>
          <w:i w:val="0"/>
          <w:color w:val="1A1230"/>
          <w:sz w:val="22"/>
        </w:rPr>
        <w:t>Step 2: EMNLP 2025 (primary recommendation)</w:t>
      </w:r>
    </w:p>
    <w:p>
      <w:pPr>
        <w:pStyle w:val="ListBullet"/>
        <w:spacing w:before="0" w:after="60"/>
        <w:ind w:left="360"/>
      </w:pPr>
      <w:r>
        <w:rPr>
          <w:rFonts w:ascii="Times New Roman" w:hAnsi="Times New Roman"/>
          <w:b w:val="0"/>
          <w:i w:val="0"/>
          <w:sz w:val="21"/>
        </w:rPr>
        <w:t>Register at softconf.com (EMNLP uses START/Softconf system).</w:t>
      </w:r>
    </w:p>
    <w:p>
      <w:pPr>
        <w:pStyle w:val="ListBullet"/>
        <w:spacing w:before="0" w:after="60"/>
        <w:ind w:left="360"/>
      </w:pPr>
      <w:r>
        <w:rPr>
          <w:rFonts w:ascii="Times New Roman" w:hAnsi="Times New Roman"/>
          <w:b w:val="0"/>
          <w:i w:val="0"/>
          <w:sz w:val="21"/>
        </w:rPr>
        <w:t>Download EMNLP 2025 LaTeX or Word template from the ACL Anthology templates page.</w:t>
      </w:r>
    </w:p>
    <w:p>
      <w:pPr>
        <w:pStyle w:val="ListBullet"/>
        <w:spacing w:before="0" w:after="60"/>
        <w:ind w:left="360"/>
      </w:pPr>
      <w:r>
        <w:rPr>
          <w:rFonts w:ascii="Times New Roman" w:hAnsi="Times New Roman"/>
          <w:b w:val="0"/>
          <w:i w:val="0"/>
          <w:sz w:val="21"/>
        </w:rPr>
        <w:t>Reformat this paper into the EMNLP two-column ACL template (8 pages + unlimited references).</w:t>
      </w:r>
    </w:p>
    <w:p>
      <w:pPr>
        <w:pStyle w:val="ListBullet"/>
        <w:spacing w:before="0" w:after="60"/>
        <w:ind w:left="360"/>
      </w:pPr>
      <w:r>
        <w:rPr>
          <w:rFonts w:ascii="Times New Roman" w:hAnsi="Times New Roman"/>
          <w:b w:val="0"/>
          <w:i w:val="0"/>
          <w:sz w:val="21"/>
        </w:rPr>
        <w:t>Ensure no author information in submission (double-blind). Remove name from all headers.</w:t>
      </w:r>
    </w:p>
    <w:p>
      <w:pPr>
        <w:pStyle w:val="ListBullet"/>
        <w:spacing w:before="0" w:after="60"/>
        <w:ind w:left="360"/>
      </w:pPr>
      <w:r>
        <w:rPr>
          <w:rFonts w:ascii="Times New Roman" w:hAnsi="Times New Roman"/>
          <w:b w:val="0"/>
          <w:i w:val="0"/>
          <w:sz w:val="21"/>
        </w:rPr>
        <w:t>Submit through START portal before the deadline (typically first week of June).</w:t>
      </w:r>
    </w:p>
    <w:p>
      <w:pPr>
        <w:pStyle w:val="ListBullet"/>
        <w:spacing w:before="0" w:after="60"/>
        <w:ind w:left="360"/>
      </w:pPr>
      <w:r>
        <w:rPr>
          <w:rFonts w:ascii="Times New Roman" w:hAnsi="Times New Roman"/>
          <w:b w:val="0"/>
          <w:i w:val="0"/>
          <w:sz w:val="21"/>
        </w:rPr>
        <w:t>Respond to Area Chair meta-review and reviewer comments in the rebuttal phase (typically August).</w:t>
      </w:r>
    </w:p>
    <w:p>
      <w:pPr>
        <w:spacing w:before="160" w:after="80"/>
      </w:pPr>
      <w:r>
        <w:rPr>
          <w:rFonts w:ascii="Times New Roman" w:hAnsi="Times New Roman"/>
          <w:b/>
          <w:i w:val="0"/>
          <w:color w:val="1A1230"/>
          <w:sz w:val="22"/>
        </w:rPr>
        <w:t>Step 3: Plagiarism check (before any submission)</w:t>
      </w:r>
    </w:p>
    <w:p>
      <w:pPr>
        <w:pStyle w:val="ListBullet"/>
        <w:spacing w:before="0" w:after="60"/>
        <w:ind w:left="360"/>
      </w:pPr>
      <w:r>
        <w:rPr>
          <w:rFonts w:ascii="Times New Roman" w:hAnsi="Times New Roman"/>
          <w:b w:val="0"/>
          <w:i w:val="0"/>
          <w:sz w:val="21"/>
        </w:rPr>
        <w:t>Use iThenticate (standard in academic publishing) or Turnitin.</w:t>
      </w:r>
    </w:p>
    <w:p>
      <w:pPr>
        <w:pStyle w:val="ListBullet"/>
        <w:spacing w:before="0" w:after="60"/>
        <w:ind w:left="360"/>
      </w:pPr>
      <w:r>
        <w:rPr>
          <w:rFonts w:ascii="Times New Roman" w:hAnsi="Times New Roman"/>
          <w:b w:val="0"/>
          <w:i w:val="0"/>
          <w:sz w:val="21"/>
        </w:rPr>
        <w:t>This paper is original and should score &lt;5% similarity. All formulas and code are novel.</w:t>
      </w:r>
    </w:p>
    <w:p>
      <w:pPr>
        <w:pStyle w:val="ListBullet"/>
        <w:spacing w:before="0" w:after="60"/>
        <w:ind w:left="360"/>
      </w:pPr>
      <w:r>
        <w:rPr>
          <w:rFonts w:ascii="Times New Roman" w:hAnsi="Times New Roman"/>
          <w:b w:val="0"/>
          <w:i w:val="0"/>
          <w:sz w:val="21"/>
        </w:rPr>
        <w:t>Cross-check that all referenced paper text is properly cited, not verbatim quoted.</w:t>
      </w:r>
    </w:p>
    <w:p>
      <w:pPr>
        <w:pStyle w:val="ListBullet"/>
        <w:spacing w:before="0" w:after="60"/>
        <w:ind w:left="360"/>
      </w:pPr>
      <w:r>
        <w:rPr>
          <w:rFonts w:ascii="Times New Roman" w:hAnsi="Times New Roman"/>
          <w:b w:val="0"/>
          <w:i w:val="0"/>
          <w:sz w:val="21"/>
        </w:rPr>
        <w:t>Do NOT use any text verbatim from other papers — paraphrase all related work descriptions.</w:t>
      </w:r>
    </w:p>
    <w:p>
      <w:pPr>
        <w:spacing w:before="160" w:after="80"/>
      </w:pPr>
      <w:r>
        <w:rPr>
          <w:rFonts w:ascii="Times New Roman" w:hAnsi="Times New Roman"/>
          <w:b/>
          <w:i w:val="0"/>
          <w:color w:val="1A1230"/>
          <w:sz w:val="22"/>
        </w:rPr>
        <w:t>Step 4: After acceptance</w:t>
      </w:r>
    </w:p>
    <w:p>
      <w:pPr>
        <w:pStyle w:val="ListBullet"/>
        <w:spacing w:before="0" w:after="60"/>
        <w:ind w:left="360"/>
      </w:pPr>
      <w:r>
        <w:rPr>
          <w:rFonts w:ascii="Times New Roman" w:hAnsi="Times New Roman"/>
          <w:b w:val="0"/>
          <w:i w:val="0"/>
          <w:sz w:val="21"/>
        </w:rPr>
        <w:t>Upload camera-ready version with author name ('Vignesh') included.</w:t>
      </w:r>
    </w:p>
    <w:p>
      <w:pPr>
        <w:pStyle w:val="ListBullet"/>
        <w:spacing w:before="0" w:after="60"/>
        <w:ind w:left="360"/>
      </w:pPr>
      <w:r>
        <w:rPr>
          <w:rFonts w:ascii="Times New Roman" w:hAnsi="Times New Roman"/>
          <w:b w:val="0"/>
          <w:i w:val="0"/>
          <w:sz w:val="21"/>
        </w:rPr>
        <w:t>Upload code to GitHub (already done: github.com/vignesh2027/VORTEXRAG).</w:t>
      </w:r>
    </w:p>
    <w:p>
      <w:pPr>
        <w:pStyle w:val="ListBullet"/>
        <w:spacing w:before="0" w:after="60"/>
        <w:ind w:left="360"/>
      </w:pPr>
      <w:r>
        <w:rPr>
          <w:rFonts w:ascii="Times New Roman" w:hAnsi="Times New Roman"/>
          <w:b w:val="0"/>
          <w:i w:val="0"/>
          <w:sz w:val="21"/>
        </w:rPr>
        <w:t>Add ACL Anthology paper link to GitHub README.</w:t>
      </w:r>
    </w:p>
    <w:p>
      <w:pPr>
        <w:pStyle w:val="ListBullet"/>
        <w:spacing w:before="0" w:after="60"/>
        <w:ind w:left="360"/>
      </w:pPr>
      <w:r>
        <w:rPr>
          <w:rFonts w:ascii="Times New Roman" w:hAnsi="Times New Roman"/>
          <w:b w:val="0"/>
          <w:i w:val="0"/>
          <w:sz w:val="21"/>
        </w:rPr>
        <w:t>Post on social media / ML community (Twitter/X, HuggingFace, Reddit r/MachineLearning) with arXiv link.</w:t>
      </w:r>
    </w:p>
    <w:p/>
    <w:p>
      <w:pPr>
        <w:spacing w:before="40" w:after="40"/>
        <w:pBdr>
          <w:bottom w:val="single" w:sz="8" w:space="1" w:color="6C47FF"/>
        </w:pBdr>
      </w:pPr>
    </w:p>
    <w:p>
      <w:pPr>
        <w:spacing w:before="120"/>
        <w:jc w:val="center"/>
      </w:pPr>
      <w:r>
        <w:rPr>
          <w:rFonts w:ascii="Times New Roman" w:hAnsi="Times New Roman"/>
          <w:b w:val="0"/>
          <w:i/>
          <w:color w:val="6C47FF"/>
          <w:sz w:val="18"/>
        </w:rPr>
        <w:t>VORTEXRAG · github.com/vignesh2027/VORTEXRAG · Author: Vignesh · 2025</w:t>
      </w:r>
    </w:p>
    <w:sectPr w:rsidR="00FC693F" w:rsidRPr="0006063C"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